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4F753154"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3755B6">
              <w:rPr>
                <w:rFonts w:ascii="Times New Roman" w:hAnsi="Times New Roman" w:cs="Times New Roman"/>
                <w:sz w:val="20"/>
                <w:szCs w:val="20"/>
              </w:rPr>
              <w:t>111725</w:t>
            </w:r>
          </w:p>
          <w:p w14:paraId="3D998642" w14:textId="4FAE1936"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3755B6">
              <w:rPr>
                <w:rFonts w:ascii="Times New Roman" w:hAnsi="Times New Roman" w:cs="Times New Roman"/>
                <w:sz w:val="20"/>
                <w:szCs w:val="20"/>
              </w:rPr>
              <w:t>22.07.2021</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3857"/>
      </w:tblGrid>
      <w:tr w:rsidR="00AE1A0A" w:rsidRPr="003755B6" w14:paraId="3B739212" w14:textId="77777777" w:rsidTr="005C7519">
        <w:trPr>
          <w:trHeight w:val="2331"/>
        </w:trPr>
        <w:tc>
          <w:tcPr>
            <w:tcW w:w="3857" w:type="dxa"/>
          </w:tcPr>
          <w:p w14:paraId="0059F518" w14:textId="77777777" w:rsidR="002745B0" w:rsidRPr="003755B6" w:rsidRDefault="002745B0" w:rsidP="00B14133">
            <w:pPr>
              <w:autoSpaceDE w:val="0"/>
              <w:autoSpaceDN w:val="0"/>
              <w:adjustRightInd w:val="0"/>
              <w:spacing w:before="60" w:after="60"/>
              <w:jc w:val="center"/>
              <w:outlineLvl w:val="0"/>
              <w:rPr>
                <w:rFonts w:ascii="Times New Roman" w:hAnsi="Times New Roman" w:cs="Times New Roman"/>
                <w:b/>
                <w:bCs/>
                <w:sz w:val="24"/>
                <w:szCs w:val="24"/>
                <w:u w:val="single"/>
              </w:rPr>
            </w:pPr>
            <w:r w:rsidRPr="003755B6">
              <w:rPr>
                <w:rFonts w:ascii="Times New Roman" w:hAnsi="Times New Roman" w:cs="Times New Roman"/>
                <w:b/>
                <w:bCs/>
                <w:sz w:val="24"/>
                <w:szCs w:val="24"/>
                <w:u w:val="single"/>
              </w:rPr>
              <w:t>APROB</w:t>
            </w:r>
          </w:p>
          <w:p w14:paraId="161C5A9C" w14:textId="77777777" w:rsidR="002745B0" w:rsidRPr="003755B6" w:rsidRDefault="002745B0" w:rsidP="00B14133">
            <w:pPr>
              <w:autoSpaceDE w:val="0"/>
              <w:autoSpaceDN w:val="0"/>
              <w:adjustRightInd w:val="0"/>
              <w:spacing w:before="60" w:after="60"/>
              <w:jc w:val="center"/>
              <w:outlineLvl w:val="0"/>
              <w:rPr>
                <w:rFonts w:ascii="Times New Roman" w:hAnsi="Times New Roman" w:cs="Times New Roman"/>
                <w:b/>
                <w:bCs/>
                <w:sz w:val="24"/>
                <w:szCs w:val="24"/>
              </w:rPr>
            </w:pPr>
            <w:r w:rsidRPr="003755B6">
              <w:rPr>
                <w:rFonts w:ascii="Times New Roman" w:hAnsi="Times New Roman" w:cs="Times New Roman"/>
                <w:b/>
                <w:bCs/>
                <w:sz w:val="24"/>
                <w:szCs w:val="24"/>
              </w:rPr>
              <w:t>INSPECTOR GENERAL</w:t>
            </w:r>
          </w:p>
          <w:p w14:paraId="58CCD1B0" w14:textId="77777777" w:rsidR="002745B0" w:rsidRPr="003755B6" w:rsidRDefault="002745B0" w:rsidP="00B14133">
            <w:pPr>
              <w:autoSpaceDE w:val="0"/>
              <w:autoSpaceDN w:val="0"/>
              <w:adjustRightInd w:val="0"/>
              <w:spacing w:before="60" w:after="60"/>
              <w:jc w:val="center"/>
              <w:outlineLvl w:val="0"/>
              <w:rPr>
                <w:rFonts w:ascii="Times New Roman" w:hAnsi="Times New Roman" w:cs="Times New Roman"/>
                <w:b/>
                <w:bCs/>
                <w:sz w:val="24"/>
                <w:szCs w:val="24"/>
              </w:rPr>
            </w:pPr>
          </w:p>
          <w:p w14:paraId="44952BEE" w14:textId="2ADF7FCF" w:rsidR="002745B0" w:rsidRPr="003755B6" w:rsidRDefault="002745B0" w:rsidP="00B14133">
            <w:pPr>
              <w:autoSpaceDE w:val="0"/>
              <w:autoSpaceDN w:val="0"/>
              <w:adjustRightInd w:val="0"/>
              <w:spacing w:before="60" w:after="60"/>
              <w:jc w:val="center"/>
              <w:outlineLvl w:val="0"/>
              <w:rPr>
                <w:rFonts w:ascii="Times New Roman" w:hAnsi="Times New Roman" w:cs="Times New Roman"/>
                <w:b/>
                <w:bCs/>
                <w:i/>
                <w:iCs/>
                <w:sz w:val="24"/>
                <w:szCs w:val="24"/>
              </w:rPr>
            </w:pPr>
            <w:r w:rsidRPr="003755B6">
              <w:rPr>
                <w:rFonts w:ascii="Times New Roman" w:hAnsi="Times New Roman" w:cs="Times New Roman"/>
                <w:b/>
                <w:bCs/>
                <w:i/>
                <w:iCs/>
                <w:sz w:val="24"/>
                <w:szCs w:val="24"/>
              </w:rPr>
              <w:t xml:space="preserve">General </w:t>
            </w:r>
            <w:r w:rsidR="003B4CE5" w:rsidRPr="003755B6">
              <w:rPr>
                <w:rFonts w:ascii="Times New Roman" w:hAnsi="Times New Roman" w:cs="Times New Roman"/>
                <w:b/>
                <w:bCs/>
                <w:i/>
                <w:iCs/>
                <w:sz w:val="24"/>
                <w:szCs w:val="24"/>
              </w:rPr>
              <w:t>maior</w:t>
            </w:r>
          </w:p>
          <w:p w14:paraId="29C31118" w14:textId="2EC30BA3" w:rsidR="002745B0" w:rsidRPr="003755B6" w:rsidRDefault="002745B0" w:rsidP="00B14133">
            <w:pPr>
              <w:autoSpaceDE w:val="0"/>
              <w:autoSpaceDN w:val="0"/>
              <w:adjustRightInd w:val="0"/>
              <w:spacing w:before="60" w:after="60"/>
              <w:jc w:val="center"/>
              <w:outlineLvl w:val="0"/>
              <w:rPr>
                <w:rFonts w:ascii="Times New Roman" w:hAnsi="Times New Roman" w:cs="Times New Roman"/>
                <w:b/>
                <w:bCs/>
                <w:sz w:val="24"/>
                <w:szCs w:val="24"/>
                <w:u w:val="single"/>
              </w:rPr>
            </w:pPr>
            <w:r w:rsidRPr="003755B6">
              <w:rPr>
                <w:rFonts w:ascii="Times New Roman" w:hAnsi="Times New Roman" w:cs="Times New Roman"/>
                <w:b/>
                <w:bCs/>
                <w:sz w:val="24"/>
                <w:szCs w:val="24"/>
              </w:rPr>
              <w:t>Dan Paul</w:t>
            </w:r>
            <w:r w:rsidR="00A17325" w:rsidRPr="003755B6">
              <w:rPr>
                <w:rFonts w:ascii="Times New Roman" w:hAnsi="Times New Roman" w:cs="Times New Roman"/>
                <w:b/>
                <w:bCs/>
                <w:sz w:val="24"/>
                <w:szCs w:val="24"/>
              </w:rPr>
              <w:t xml:space="preserve"> IAMANDI</w:t>
            </w:r>
          </w:p>
        </w:tc>
      </w:tr>
    </w:tbl>
    <w:tbl>
      <w:tblPr>
        <w:tblStyle w:val="TableGrid"/>
        <w:tblpPr w:leftFromText="180" w:rightFromText="180" w:vertAnchor="text" w:horzAnchor="page" w:tblpX="1621" w:tblpY="-10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tblGrid>
      <w:tr w:rsidR="00AE1A0A" w:rsidRPr="003755B6" w14:paraId="5023CEFA" w14:textId="77777777" w:rsidTr="00B14133">
        <w:trPr>
          <w:trHeight w:val="1896"/>
        </w:trPr>
        <w:tc>
          <w:tcPr>
            <w:tcW w:w="5153" w:type="dxa"/>
          </w:tcPr>
          <w:p w14:paraId="5BB799E6" w14:textId="77777777" w:rsidR="002745B0" w:rsidRPr="003755B6" w:rsidRDefault="002745B0" w:rsidP="00B14133">
            <w:pPr>
              <w:autoSpaceDE w:val="0"/>
              <w:autoSpaceDN w:val="0"/>
              <w:adjustRightInd w:val="0"/>
              <w:jc w:val="center"/>
              <w:outlineLvl w:val="0"/>
              <w:rPr>
                <w:rFonts w:ascii="Times New Roman" w:hAnsi="Times New Roman" w:cs="Times New Roman"/>
                <w:b/>
                <w:bCs/>
                <w:sz w:val="24"/>
                <w:szCs w:val="24"/>
                <w:u w:val="single"/>
              </w:rPr>
            </w:pPr>
            <w:r w:rsidRPr="003755B6">
              <w:rPr>
                <w:rFonts w:ascii="Times New Roman" w:hAnsi="Times New Roman" w:cs="Times New Roman"/>
                <w:b/>
                <w:bCs/>
                <w:sz w:val="24"/>
                <w:szCs w:val="24"/>
                <w:u w:val="single"/>
              </w:rPr>
              <w:t xml:space="preserve">DE ACORD, ROG A APROBA </w:t>
            </w:r>
          </w:p>
          <w:p w14:paraId="2D97F2D5" w14:textId="77777777" w:rsidR="002745B0" w:rsidRPr="003755B6" w:rsidRDefault="002745B0" w:rsidP="00B14133">
            <w:pPr>
              <w:autoSpaceDE w:val="0"/>
              <w:autoSpaceDN w:val="0"/>
              <w:adjustRightInd w:val="0"/>
              <w:jc w:val="center"/>
              <w:outlineLvl w:val="0"/>
              <w:rPr>
                <w:rFonts w:ascii="Times New Roman" w:hAnsi="Times New Roman" w:cs="Times New Roman"/>
                <w:b/>
                <w:bCs/>
                <w:sz w:val="24"/>
                <w:szCs w:val="24"/>
              </w:rPr>
            </w:pPr>
          </w:p>
          <w:p w14:paraId="394BACE5" w14:textId="77777777" w:rsidR="002745B0" w:rsidRPr="003755B6" w:rsidRDefault="002745B0" w:rsidP="00B14133">
            <w:pPr>
              <w:autoSpaceDE w:val="0"/>
              <w:autoSpaceDN w:val="0"/>
              <w:adjustRightInd w:val="0"/>
              <w:jc w:val="center"/>
              <w:outlineLvl w:val="0"/>
              <w:rPr>
                <w:rFonts w:ascii="Times New Roman" w:hAnsi="Times New Roman" w:cs="Times New Roman"/>
                <w:b/>
                <w:bCs/>
                <w:sz w:val="24"/>
                <w:szCs w:val="24"/>
              </w:rPr>
            </w:pPr>
            <w:r w:rsidRPr="003755B6">
              <w:rPr>
                <w:rFonts w:ascii="Times New Roman" w:hAnsi="Times New Roman" w:cs="Times New Roman"/>
                <w:b/>
                <w:bCs/>
                <w:sz w:val="24"/>
                <w:szCs w:val="24"/>
              </w:rPr>
              <w:t>MANAGER DE PROIECT</w:t>
            </w:r>
          </w:p>
          <w:p w14:paraId="2734AD07" w14:textId="77777777" w:rsidR="002745B0" w:rsidRPr="003755B6" w:rsidRDefault="002745B0" w:rsidP="00B14133">
            <w:pPr>
              <w:autoSpaceDE w:val="0"/>
              <w:autoSpaceDN w:val="0"/>
              <w:adjustRightInd w:val="0"/>
              <w:jc w:val="center"/>
              <w:outlineLvl w:val="0"/>
              <w:rPr>
                <w:rFonts w:ascii="Times New Roman" w:hAnsi="Times New Roman" w:cs="Times New Roman"/>
                <w:b/>
                <w:bCs/>
                <w:sz w:val="24"/>
                <w:szCs w:val="24"/>
              </w:rPr>
            </w:pPr>
          </w:p>
          <w:p w14:paraId="2ADEA53C" w14:textId="77777777" w:rsidR="002745B0" w:rsidRPr="003755B6" w:rsidRDefault="002745B0" w:rsidP="00B14133">
            <w:pPr>
              <w:autoSpaceDE w:val="0"/>
              <w:autoSpaceDN w:val="0"/>
              <w:adjustRightInd w:val="0"/>
              <w:jc w:val="center"/>
              <w:outlineLvl w:val="0"/>
              <w:rPr>
                <w:rFonts w:ascii="Times New Roman" w:hAnsi="Times New Roman" w:cs="Times New Roman"/>
                <w:b/>
                <w:bCs/>
                <w:i/>
                <w:iCs/>
                <w:sz w:val="24"/>
                <w:szCs w:val="24"/>
              </w:rPr>
            </w:pPr>
            <w:r w:rsidRPr="003755B6">
              <w:rPr>
                <w:rFonts w:ascii="Times New Roman" w:hAnsi="Times New Roman" w:cs="Times New Roman"/>
                <w:b/>
                <w:bCs/>
                <w:i/>
                <w:iCs/>
                <w:sz w:val="24"/>
                <w:szCs w:val="24"/>
              </w:rPr>
              <w:t>Colonel</w:t>
            </w:r>
          </w:p>
          <w:p w14:paraId="3A75B169" w14:textId="2B718275" w:rsidR="002745B0" w:rsidRPr="003755B6" w:rsidRDefault="000348FD" w:rsidP="00B14133">
            <w:pPr>
              <w:autoSpaceDE w:val="0"/>
              <w:autoSpaceDN w:val="0"/>
              <w:adjustRightInd w:val="0"/>
              <w:jc w:val="center"/>
              <w:outlineLvl w:val="0"/>
              <w:rPr>
                <w:rFonts w:ascii="Times New Roman" w:hAnsi="Times New Roman" w:cs="Times New Roman"/>
                <w:b/>
                <w:bCs/>
                <w:sz w:val="24"/>
                <w:szCs w:val="24"/>
                <w:u w:val="single"/>
              </w:rPr>
            </w:pPr>
            <w:r w:rsidRPr="003755B6">
              <w:rPr>
                <w:rFonts w:ascii="Times New Roman" w:hAnsi="Times New Roman" w:cs="Times New Roman"/>
                <w:b/>
                <w:bCs/>
                <w:sz w:val="24"/>
                <w:szCs w:val="24"/>
              </w:rPr>
              <w:t>Benone Gabriel</w:t>
            </w:r>
            <w:r w:rsidR="00A17325" w:rsidRPr="003755B6">
              <w:rPr>
                <w:rFonts w:ascii="Times New Roman" w:hAnsi="Times New Roman" w:cs="Times New Roman"/>
                <w:b/>
                <w:bCs/>
                <w:sz w:val="24"/>
                <w:szCs w:val="24"/>
              </w:rPr>
              <w:t xml:space="preserve"> </w:t>
            </w:r>
            <w:r w:rsidR="00A17325" w:rsidRPr="003755B6">
              <w:rPr>
                <w:sz w:val="24"/>
                <w:szCs w:val="24"/>
              </w:rPr>
              <w:t xml:space="preserve"> </w:t>
            </w:r>
            <w:r w:rsidR="00A17325" w:rsidRPr="003755B6">
              <w:rPr>
                <w:rFonts w:ascii="Times New Roman" w:hAnsi="Times New Roman" w:cs="Times New Roman"/>
                <w:b/>
                <w:bCs/>
                <w:sz w:val="24"/>
                <w:szCs w:val="24"/>
              </w:rPr>
              <w:t>DUDUC</w:t>
            </w:r>
          </w:p>
        </w:tc>
      </w:tr>
    </w:tbl>
    <w:p w14:paraId="08C831C1" w14:textId="77777777" w:rsidR="002745B0" w:rsidRPr="00AE1A0A"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BF57DCC" w14:textId="77777777" w:rsidR="006F13BB" w:rsidRPr="00AE1A0A" w:rsidRDefault="006F13BB"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193CDE39" w14:textId="77777777" w:rsidR="006F13BB" w:rsidRPr="00AE1A0A"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16F3807" w14:textId="77777777" w:rsidR="00570EC1" w:rsidRPr="003755B6" w:rsidRDefault="0043344E" w:rsidP="00B77F0F">
      <w:pPr>
        <w:autoSpaceDE w:val="0"/>
        <w:autoSpaceDN w:val="0"/>
        <w:adjustRightInd w:val="0"/>
        <w:spacing w:before="60" w:after="60" w:line="240" w:lineRule="auto"/>
        <w:jc w:val="center"/>
        <w:outlineLvl w:val="0"/>
        <w:rPr>
          <w:rFonts w:ascii="Times New Roman" w:hAnsi="Times New Roman" w:cs="Times New Roman"/>
          <w:b/>
          <w:bCs/>
          <w:sz w:val="28"/>
          <w:szCs w:val="28"/>
        </w:rPr>
      </w:pPr>
      <w:r w:rsidRPr="003755B6">
        <w:rPr>
          <w:rFonts w:ascii="Times New Roman" w:hAnsi="Times New Roman" w:cs="Times New Roman"/>
          <w:b/>
          <w:bCs/>
          <w:sz w:val="28"/>
          <w:szCs w:val="28"/>
        </w:rPr>
        <w:t>Termeni de Referin</w:t>
      </w:r>
      <w:r w:rsidR="00254B6D" w:rsidRPr="003755B6">
        <w:rPr>
          <w:rFonts w:ascii="Times New Roman" w:hAnsi="Times New Roman" w:cs="Times New Roman"/>
          <w:b/>
          <w:bCs/>
          <w:sz w:val="28"/>
          <w:szCs w:val="28"/>
        </w:rPr>
        <w:t>ță</w:t>
      </w:r>
      <w:r w:rsidRPr="003755B6">
        <w:rPr>
          <w:rFonts w:ascii="Times New Roman" w:hAnsi="Times New Roman" w:cs="Times New Roman"/>
          <w:b/>
          <w:bCs/>
          <w:sz w:val="28"/>
          <w:szCs w:val="28"/>
        </w:rPr>
        <w:t xml:space="preserve"> </w:t>
      </w:r>
    </w:p>
    <w:p w14:paraId="56BAA277" w14:textId="34601CDE" w:rsidR="006E2A3B" w:rsidRPr="00570EC1" w:rsidRDefault="0043344E" w:rsidP="00570EC1">
      <w:pPr>
        <w:autoSpaceDE w:val="0"/>
        <w:autoSpaceDN w:val="0"/>
        <w:adjustRightInd w:val="0"/>
        <w:spacing w:before="60" w:after="60" w:line="240" w:lineRule="auto"/>
        <w:jc w:val="center"/>
        <w:outlineLvl w:val="0"/>
        <w:rPr>
          <w:rFonts w:ascii="Times New Roman" w:hAnsi="Times New Roman" w:cs="Times New Roman"/>
          <w:sz w:val="24"/>
          <w:szCs w:val="24"/>
        </w:rPr>
      </w:pP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pentru</w:t>
      </w:r>
      <w:r w:rsidR="00EA7B9D" w:rsidRPr="00AE1A0A">
        <w:rPr>
          <w:rFonts w:ascii="Times New Roman" w:hAnsi="Times New Roman" w:cs="Times New Roman"/>
          <w:sz w:val="24"/>
          <w:szCs w:val="24"/>
        </w:rPr>
        <w:t xml:space="preserve"> realizarea de</w:t>
      </w:r>
      <w:bookmarkStart w:id="0" w:name="_Toc16685566"/>
      <w:bookmarkStart w:id="1" w:name="_Toc18491922"/>
      <w:r w:rsidR="00570EC1">
        <w:rPr>
          <w:rFonts w:ascii="Times New Roman" w:hAnsi="Times New Roman" w:cs="Times New Roman"/>
          <w:sz w:val="24"/>
          <w:szCs w:val="24"/>
        </w:rPr>
        <w:t xml:space="preserve"> </w:t>
      </w:r>
      <w:r w:rsidR="006E2A3B"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006E2A3B"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006E2A3B"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F54E18" w:rsidRPr="00AE1A0A">
        <w:rPr>
          <w:rFonts w:ascii="Times New Roman" w:hAnsi="Times New Roman"/>
          <w:b/>
          <w:bCs/>
          <w:i/>
          <w:iCs/>
          <w:sz w:val="24"/>
          <w:szCs w:val="24"/>
        </w:rPr>
        <w:t xml:space="preserve">Pachetul </w:t>
      </w:r>
      <w:r w:rsidR="001C6FC0">
        <w:rPr>
          <w:rFonts w:ascii="Times New Roman" w:hAnsi="Times New Roman"/>
          <w:b/>
          <w:bCs/>
          <w:i/>
          <w:iCs/>
          <w:sz w:val="24"/>
          <w:szCs w:val="24"/>
        </w:rPr>
        <w:t xml:space="preserve">7 </w:t>
      </w:r>
      <w:r w:rsidR="008609B8">
        <w:rPr>
          <w:rFonts w:ascii="Times New Roman" w:hAnsi="Times New Roman"/>
          <w:b/>
          <w:bCs/>
          <w:i/>
          <w:iCs/>
          <w:sz w:val="24"/>
          <w:szCs w:val="24"/>
        </w:rPr>
        <w:t>-</w:t>
      </w:r>
      <w:r w:rsidR="00F54E18" w:rsidRPr="00AE1A0A">
        <w:rPr>
          <w:rFonts w:ascii="Times New Roman" w:eastAsia="Times New Roman" w:hAnsi="Times New Roman" w:cs="Times New Roman"/>
          <w:sz w:val="24"/>
          <w:szCs w:val="24"/>
        </w:rPr>
        <w:t xml:space="preserve"> </w:t>
      </w:r>
      <w:bookmarkStart w:id="2" w:name="_Hlk46388885"/>
      <w:r w:rsidR="008C62D8" w:rsidRPr="00357795">
        <w:rPr>
          <w:rFonts w:ascii="Times New Roman" w:hAnsi="Times New Roman" w:cs="Times New Roman"/>
          <w:b/>
          <w:bCs/>
          <w:i/>
          <w:iCs/>
          <w:sz w:val="24"/>
          <w:szCs w:val="24"/>
        </w:rPr>
        <w:t>Detașamentul de Pompieri Aiud</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 xml:space="preserve"> din cadrul</w:t>
      </w:r>
      <w:r w:rsidR="008C62D8" w:rsidRPr="00357795">
        <w:rPr>
          <w:rFonts w:ascii="Times New Roman" w:hAnsi="Times New Roman" w:cs="Times New Roman"/>
          <w:b/>
          <w:bCs/>
          <w:i/>
          <w:iCs/>
          <w:sz w:val="24"/>
          <w:szCs w:val="24"/>
        </w:rPr>
        <w:t xml:space="preserve"> Inspectoratului pentru Situații de Urgență ”Unirea” al județului Alba</w:t>
      </w:r>
      <w:r w:rsidR="008C62D8">
        <w:rPr>
          <w:rFonts w:ascii="Times New Roman" w:hAnsi="Times New Roman" w:cs="Times New Roman"/>
          <w:b/>
          <w:bCs/>
          <w:i/>
          <w:iCs/>
          <w:sz w:val="24"/>
          <w:szCs w:val="24"/>
        </w:rPr>
        <w:t>;</w:t>
      </w:r>
      <w:r w:rsidR="008C62D8" w:rsidRPr="008C62D8">
        <w:rPr>
          <w:b/>
          <w:bCs/>
          <w:i/>
          <w:iCs/>
        </w:rPr>
        <w:t xml:space="preserve"> </w:t>
      </w:r>
      <w:r w:rsidR="008C62D8" w:rsidRPr="00357795">
        <w:rPr>
          <w:rFonts w:ascii="Times New Roman" w:hAnsi="Times New Roman" w:cs="Times New Roman"/>
          <w:b/>
          <w:bCs/>
          <w:i/>
          <w:iCs/>
          <w:sz w:val="24"/>
          <w:szCs w:val="24"/>
        </w:rPr>
        <w:t>Secţia de Pompieri Mediaș</w:t>
      </w:r>
      <w:r w:rsidR="008C62D8" w:rsidRPr="005E3017">
        <w:rPr>
          <w:rFonts w:ascii="Times New Roman" w:hAnsi="Times New Roman" w:cs="Times New Roman"/>
          <w:b/>
          <w:bCs/>
          <w:i/>
          <w:iCs/>
          <w:sz w:val="24"/>
          <w:szCs w:val="24"/>
        </w:rPr>
        <w:t xml:space="preserve"> </w:t>
      </w:r>
      <w:r w:rsidR="008C62D8">
        <w:rPr>
          <w:rFonts w:ascii="Times New Roman" w:hAnsi="Times New Roman" w:cs="Times New Roman"/>
          <w:b/>
          <w:bCs/>
          <w:i/>
          <w:iCs/>
          <w:sz w:val="24"/>
          <w:szCs w:val="24"/>
        </w:rPr>
        <w:t>din cadrul</w:t>
      </w:r>
      <w:r w:rsidR="008C62D8" w:rsidRPr="00357795">
        <w:rPr>
          <w:rFonts w:ascii="Times New Roman" w:hAnsi="Times New Roman" w:cs="Times New Roman"/>
          <w:b/>
          <w:bCs/>
          <w:i/>
          <w:iCs/>
          <w:sz w:val="24"/>
          <w:szCs w:val="24"/>
        </w:rPr>
        <w:t xml:space="preserve"> Inspectoratului pentru Situații de Urgență ”Cpt. Dumitru Croitoru” al județului Sibiu</w:t>
      </w:r>
      <w:r w:rsidR="008C62D8">
        <w:rPr>
          <w:rFonts w:ascii="Times New Roman" w:hAnsi="Times New Roman" w:cs="Times New Roman"/>
          <w:b/>
          <w:bCs/>
          <w:i/>
          <w:iCs/>
          <w:sz w:val="24"/>
          <w:szCs w:val="24"/>
        </w:rPr>
        <w:t xml:space="preserve">; </w:t>
      </w:r>
      <w:r w:rsidR="008C62D8" w:rsidRPr="00357795">
        <w:rPr>
          <w:rFonts w:ascii="Times New Roman" w:hAnsi="Times New Roman" w:cs="Times New Roman"/>
          <w:b/>
          <w:bCs/>
          <w:i/>
          <w:iCs/>
          <w:sz w:val="24"/>
          <w:szCs w:val="24"/>
        </w:rPr>
        <w:t>Detașamentul de Pompieri Turda din cadrul Inspectoratul pentru Situații de Urgență ”Avram Iancu” al județului Cluj</w:t>
      </w:r>
      <w:r w:rsidR="00B377C6" w:rsidRPr="008C62D8">
        <w:rPr>
          <w:rFonts w:ascii="Times New Roman" w:hAnsi="Times New Roman" w:cs="Times New Roman"/>
          <w:b/>
          <w:bCs/>
          <w:i/>
          <w:iCs/>
          <w:sz w:val="24"/>
          <w:szCs w:val="24"/>
        </w:rPr>
        <w:t xml:space="preserve"> </w:t>
      </w:r>
      <w:bookmarkEnd w:id="2"/>
    </w:p>
    <w:p w14:paraId="46F2D6C4" w14:textId="77777777" w:rsidR="00BC4FDC" w:rsidRPr="008C62D8" w:rsidRDefault="00BC4FDC" w:rsidP="00A3532D">
      <w:pPr>
        <w:pStyle w:val="HTMLPreformatte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w w:val="102"/>
          <w:sz w:val="24"/>
          <w:szCs w:val="24"/>
        </w:rPr>
      </w:pPr>
    </w:p>
    <w:p w14:paraId="5399C8C0" w14:textId="74B93D25" w:rsidR="00350A85" w:rsidRPr="00AE1A0A" w:rsidRDefault="00350A85"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4DB7456A" w14:textId="77777777" w:rsidR="00AC1E76" w:rsidRPr="00F676CF"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0"/>
          <w:szCs w:val="20"/>
          <w:u w:val="single"/>
        </w:rPr>
      </w:pP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06FB67D8" w14:textId="77777777" w:rsidR="008C0BD7" w:rsidRPr="00AE1A0A" w:rsidRDefault="008C0BD7" w:rsidP="008C0BD7">
      <w:pPr>
        <w:widowControl w:val="0"/>
        <w:autoSpaceDE w:val="0"/>
        <w:autoSpaceDN w:val="0"/>
        <w:adjustRightInd w:val="0"/>
        <w:spacing w:before="60" w:after="120" w:line="240" w:lineRule="auto"/>
        <w:jc w:val="both"/>
        <w:rPr>
          <w:rFonts w:ascii="Times New Roman" w:eastAsia="Times New Roman" w:hAnsi="Times New Roman" w:cs="Times New Roman"/>
          <w:sz w:val="24"/>
          <w:szCs w:val="24"/>
        </w:rPr>
      </w:pPr>
      <w:r w:rsidRPr="00570EC1">
        <w:rPr>
          <w:rFonts w:ascii="Times New Roman" w:eastAsia="Times New Roman" w:hAnsi="Times New Roman" w:cs="Times New Roman"/>
          <w:sz w:val="24"/>
          <w:szCs w:val="24"/>
        </w:rPr>
        <w:t>Proiectul este implementat de către Inspectoratul General pentru Situații de Urgență (denumit în continuare ”Clientul”), prin Unitatea de Implementare a Proiectului din cadrul acestuia.</w:t>
      </w:r>
    </w:p>
    <w:p w14:paraId="40FCF196" w14:textId="05003FA2" w:rsidR="005C59E4" w:rsidRDefault="000D0C29" w:rsidP="00570EC1">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42CCEEE5" w14:textId="2FD0CCDE" w:rsidR="000D0C29"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 xml:space="preserve">evaluarea stării tehnice a construcțiilor respective și stabilirea măsurilor de </w:t>
      </w:r>
      <w:r w:rsidR="00E71B37" w:rsidRPr="00AE1A0A">
        <w:rPr>
          <w:rFonts w:ascii="Times New Roman" w:hAnsi="Times New Roman" w:cs="Times New Roman"/>
          <w:bCs/>
          <w:iCs/>
          <w:sz w:val="24"/>
          <w:szCs w:val="24"/>
        </w:rPr>
        <w:lastRenderedPageBreak/>
        <w:t>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Codul de proiectare seismică — Partea a III-a —Prevederi 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t>Scopul serviciilor</w:t>
      </w:r>
    </w:p>
    <w:p w14:paraId="4C4F8D71" w14:textId="3B1BF81D"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w:t>
      </w:r>
      <w:r w:rsidR="003A5E29">
        <w:rPr>
          <w:rFonts w:ascii="Times New Roman" w:eastAsia="Times New Roman" w:hAnsi="Times New Roman" w:cs="Times New Roman"/>
          <w:b/>
          <w:i/>
          <w:sz w:val="24"/>
          <w:szCs w:val="24"/>
        </w:rPr>
        <w:t>a</w:t>
      </w:r>
      <w:r w:rsidR="00F54E18" w:rsidRPr="00AE1A0A">
        <w:rPr>
          <w:rFonts w:ascii="Times New Roman" w:eastAsia="Times New Roman" w:hAnsi="Times New Roman" w:cs="Times New Roman"/>
          <w:b/>
          <w:i/>
          <w:sz w:val="24"/>
          <w:szCs w:val="24"/>
        </w:rPr>
        <w:t>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5D8CCF5A"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 xml:space="preserve">PACHETUL </w:t>
      </w:r>
      <w:r w:rsidR="007F5B40">
        <w:rPr>
          <w:rFonts w:ascii="Times New Roman" w:eastAsia="Times New Roman" w:hAnsi="Times New Roman" w:cs="Times New Roman"/>
          <w:b/>
          <w:bCs/>
          <w:sz w:val="24"/>
          <w:szCs w:val="24"/>
        </w:rPr>
        <w:t>7</w:t>
      </w:r>
      <w:r w:rsidRPr="00AE1A0A">
        <w:rPr>
          <w:rFonts w:ascii="Times New Roman" w:eastAsia="Times New Roman" w:hAnsi="Times New Roman" w:cs="Times New Roman"/>
          <w:b/>
          <w:bCs/>
          <w:sz w:val="24"/>
          <w:szCs w:val="24"/>
        </w:rPr>
        <w:t>:</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Nr </w:t>
            </w:r>
            <w:proofErr w:type="spellStart"/>
            <w:r w:rsidRPr="00AE1A0A">
              <w:rPr>
                <w:rFonts w:ascii="Times New Roman" w:eastAsia="Times New Roman" w:hAnsi="Times New Roman" w:cs="Times New Roman"/>
                <w:bCs/>
                <w:sz w:val="18"/>
                <w:szCs w:val="18"/>
                <w:lang w:val="en-US"/>
              </w:rPr>
              <w:t>crt</w:t>
            </w:r>
            <w:proofErr w:type="spellEnd"/>
            <w:r w:rsidRPr="00AE1A0A">
              <w:rPr>
                <w:rFonts w:ascii="Times New Roman" w:eastAsia="Times New Roman" w:hAnsi="Times New Roman" w:cs="Times New Roman"/>
                <w:bCs/>
                <w:sz w:val="18"/>
                <w:szCs w:val="18"/>
                <w:lang w:val="en-US"/>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roofErr w:type="spellStart"/>
            <w:r w:rsidRPr="00AE1A0A">
              <w:rPr>
                <w:rFonts w:ascii="Times New Roman" w:eastAsia="Times New Roman" w:hAnsi="Times New Roman" w:cs="Times New Roman"/>
                <w:bCs/>
                <w:sz w:val="18"/>
                <w:szCs w:val="18"/>
                <w:lang w:val="en-US"/>
              </w:rPr>
              <w:t>Județ</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Denumire</w:t>
            </w:r>
            <w:proofErr w:type="spellEnd"/>
            <w:r w:rsidRPr="00AE1A0A">
              <w:rPr>
                <w:rFonts w:ascii="Times New Roman" w:eastAsia="Times New Roman" w:hAnsi="Times New Roman" w:cs="Times New Roman"/>
                <w:bCs/>
                <w:sz w:val="18"/>
                <w:szCs w:val="18"/>
                <w:lang w:val="en-US"/>
              </w:rPr>
              <w:t xml:space="preserv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proofErr w:type="spellStart"/>
            <w:r w:rsidRPr="00AE1A0A">
              <w:rPr>
                <w:rFonts w:ascii="Times New Roman" w:eastAsia="Times New Roman" w:hAnsi="Times New Roman" w:cs="Times New Roman"/>
                <w:bCs/>
                <w:sz w:val="18"/>
                <w:szCs w:val="18"/>
                <w:lang w:val="en-US"/>
              </w:rPr>
              <w:t>Destinație</w:t>
            </w:r>
            <w:proofErr w:type="spellEnd"/>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Anul</w:t>
            </w:r>
            <w:proofErr w:type="spellEnd"/>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Constr</w:t>
            </w:r>
            <w:proofErr w:type="spellEnd"/>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Regim</w:t>
            </w:r>
            <w:proofErr w:type="spellEnd"/>
            <w:r w:rsidRPr="00AE1A0A">
              <w:rPr>
                <w:rFonts w:ascii="Times New Roman" w:eastAsia="Times New Roman" w:hAnsi="Times New Roman" w:cs="Times New Roman"/>
                <w:bCs/>
                <w:sz w:val="18"/>
                <w:szCs w:val="18"/>
                <w:lang w:val="en-US"/>
              </w:rPr>
              <w:t xml:space="preserve"> de </w:t>
            </w:r>
            <w:proofErr w:type="spellStart"/>
            <w:r w:rsidRPr="00AE1A0A">
              <w:rPr>
                <w:rFonts w:ascii="Times New Roman" w:eastAsia="Times New Roman" w:hAnsi="Times New Roman" w:cs="Times New Roman"/>
                <w:bCs/>
                <w:sz w:val="18"/>
                <w:szCs w:val="18"/>
                <w:lang w:val="en-US"/>
              </w:rPr>
              <w:t>înălțime</w:t>
            </w:r>
            <w:proofErr w:type="spellEnd"/>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Suprafața</w:t>
            </w:r>
            <w:proofErr w:type="spellEnd"/>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Existentă</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Din care </w:t>
            </w:r>
            <w:proofErr w:type="spellStart"/>
            <w:r w:rsidRPr="00AE1A0A">
              <w:rPr>
                <w:rFonts w:ascii="Times New Roman" w:eastAsia="Times New Roman" w:hAnsi="Times New Roman" w:cs="Times New Roman"/>
                <w:bCs/>
                <w:sz w:val="18"/>
                <w:szCs w:val="18"/>
                <w:lang w:val="en-US"/>
              </w:rPr>
              <w:t>extindere</w:t>
            </w:r>
            <w:proofErr w:type="spellEnd"/>
          </w:p>
        </w:tc>
      </w:tr>
      <w:tr w:rsidR="00AE261D" w:rsidRPr="00AE1A0A" w14:paraId="4CAB9D59" w14:textId="77777777" w:rsidTr="00AE261D">
        <w:trPr>
          <w:trHeight w:val="675"/>
        </w:trPr>
        <w:tc>
          <w:tcPr>
            <w:tcW w:w="422" w:type="dxa"/>
            <w:tcBorders>
              <w:top w:val="single" w:sz="4" w:space="0" w:color="auto"/>
              <w:left w:val="single" w:sz="4" w:space="0" w:color="auto"/>
              <w:bottom w:val="single" w:sz="4" w:space="0" w:color="auto"/>
              <w:right w:val="single" w:sz="4" w:space="0" w:color="auto"/>
            </w:tcBorders>
          </w:tcPr>
          <w:p w14:paraId="04250EB1"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nil"/>
              <w:right w:val="single" w:sz="4" w:space="0" w:color="auto"/>
            </w:tcBorders>
            <w:shd w:val="clear" w:color="auto" w:fill="F2F2F2" w:themeFill="background1" w:themeFillShade="F2"/>
          </w:tcPr>
          <w:p w14:paraId="1CB14D02" w14:textId="15B4F93F" w:rsidR="00AE261D" w:rsidRPr="00F3542E"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AB</w:t>
            </w:r>
          </w:p>
        </w:tc>
        <w:tc>
          <w:tcPr>
            <w:tcW w:w="1416" w:type="dxa"/>
            <w:tcBorders>
              <w:top w:val="single" w:sz="8" w:space="0" w:color="auto"/>
              <w:left w:val="single" w:sz="4" w:space="0" w:color="auto"/>
              <w:bottom w:val="single" w:sz="4" w:space="0" w:color="auto"/>
              <w:right w:val="single" w:sz="4" w:space="0" w:color="auto"/>
            </w:tcBorders>
            <w:shd w:val="clear" w:color="auto" w:fill="F2F2F2" w:themeFill="background1" w:themeFillShade="F2"/>
            <w:vAlign w:val="center"/>
          </w:tcPr>
          <w:p w14:paraId="58E3FBC0" w14:textId="2A8F97A3" w:rsidR="00AE261D" w:rsidRPr="00F3542E"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Alba</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Aiud</w:t>
            </w:r>
            <w:proofErr w:type="spellEnd"/>
          </w:p>
        </w:tc>
        <w:tc>
          <w:tcPr>
            <w:tcW w:w="1274" w:type="dxa"/>
            <w:tcBorders>
              <w:top w:val="single" w:sz="4" w:space="0" w:color="auto"/>
              <w:left w:val="single" w:sz="4" w:space="0" w:color="auto"/>
              <w:bottom w:val="nil"/>
              <w:right w:val="single" w:sz="4" w:space="0" w:color="auto"/>
            </w:tcBorders>
            <w:shd w:val="clear" w:color="auto" w:fill="F2F2F2" w:themeFill="background1" w:themeFillShade="F2"/>
          </w:tcPr>
          <w:p w14:paraId="3D3DCD2A" w14:textId="11405F9B"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p>
        </w:tc>
        <w:tc>
          <w:tcPr>
            <w:tcW w:w="564" w:type="dxa"/>
            <w:tcBorders>
              <w:top w:val="single" w:sz="4" w:space="0" w:color="auto"/>
              <w:left w:val="single" w:sz="4" w:space="0" w:color="auto"/>
              <w:bottom w:val="nil"/>
              <w:right w:val="single" w:sz="4" w:space="0" w:color="auto"/>
            </w:tcBorders>
            <w:shd w:val="clear" w:color="auto" w:fill="F2F2F2" w:themeFill="background1" w:themeFillShade="F2"/>
          </w:tcPr>
          <w:p w14:paraId="3E4D499E" w14:textId="77777777" w:rsidR="00AE261D" w:rsidRPr="000406C6"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1949</w:t>
            </w:r>
          </w:p>
          <w:p w14:paraId="06F4AAFD" w14:textId="360DF54F"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w:t>
            </w:r>
            <w:proofErr w:type="spellStart"/>
            <w:proofErr w:type="gramStart"/>
            <w:r w:rsidRPr="000406C6">
              <w:rPr>
                <w:rFonts w:ascii="Times New Roman" w:eastAsia="Times New Roman" w:hAnsi="Times New Roman" w:cs="Times New Roman"/>
                <w:sz w:val="18"/>
                <w:szCs w:val="18"/>
                <w:lang w:val="en-US"/>
              </w:rPr>
              <w:t>estimare</w:t>
            </w:r>
            <w:proofErr w:type="spellEnd"/>
            <w:proofErr w:type="gramEnd"/>
            <w:r w:rsidRPr="000406C6">
              <w:rPr>
                <w:rFonts w:ascii="Times New Roman" w:eastAsia="Times New Roman" w:hAnsi="Times New Roman" w:cs="Times New Roman"/>
                <w:sz w:val="18"/>
                <w:szCs w:val="18"/>
                <w:lang w:val="en-US"/>
              </w:rPr>
              <w:t xml:space="preserve"> 1920)</w:t>
            </w:r>
          </w:p>
        </w:tc>
        <w:tc>
          <w:tcPr>
            <w:tcW w:w="714" w:type="dxa"/>
            <w:tcBorders>
              <w:top w:val="single" w:sz="4" w:space="0" w:color="auto"/>
              <w:left w:val="single" w:sz="4" w:space="0" w:color="auto"/>
              <w:bottom w:val="nil"/>
              <w:right w:val="single" w:sz="4" w:space="0" w:color="auto"/>
            </w:tcBorders>
            <w:shd w:val="clear" w:color="auto" w:fill="F2F2F2" w:themeFill="background1" w:themeFillShade="F2"/>
          </w:tcPr>
          <w:p w14:paraId="73506082" w14:textId="5088B968"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Sp+P+1E</w:t>
            </w:r>
          </w:p>
        </w:tc>
        <w:tc>
          <w:tcPr>
            <w:tcW w:w="708" w:type="dxa"/>
            <w:tcBorders>
              <w:top w:val="single" w:sz="4" w:space="0" w:color="auto"/>
              <w:left w:val="single" w:sz="4" w:space="0" w:color="auto"/>
              <w:bottom w:val="nil"/>
              <w:right w:val="single" w:sz="4" w:space="0" w:color="auto"/>
            </w:tcBorders>
            <w:shd w:val="clear" w:color="auto" w:fill="F2F2F2" w:themeFill="background1" w:themeFillShade="F2"/>
          </w:tcPr>
          <w:p w14:paraId="6D9348B2" w14:textId="283D9F3A"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Sp+P+1E</w:t>
            </w:r>
          </w:p>
        </w:tc>
        <w:tc>
          <w:tcPr>
            <w:tcW w:w="1843"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5A976896"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585mp </w:t>
            </w:r>
          </w:p>
          <w:p w14:paraId="7D941C1A"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1170mp </w:t>
            </w:r>
          </w:p>
          <w:p w14:paraId="4658BD0A" w14:textId="36071AF1"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parțial</w:t>
            </w:r>
            <w:proofErr w:type="spellEnd"/>
            <w:r w:rsidRPr="000406C6">
              <w:rPr>
                <w:rFonts w:ascii="Times New Roman" w:eastAsia="Times New Roman" w:hAnsi="Times New Roman" w:cs="Times New Roman"/>
                <w:bCs/>
                <w:sz w:val="18"/>
                <w:szCs w:val="18"/>
                <w:lang w:val="en-US"/>
              </w:rPr>
              <w:t xml:space="preserve"> 110mp)</w:t>
            </w:r>
          </w:p>
        </w:tc>
        <w:tc>
          <w:tcPr>
            <w:tcW w:w="1135" w:type="dxa"/>
            <w:tcBorders>
              <w:top w:val="single" w:sz="4" w:space="0" w:color="auto"/>
              <w:left w:val="single" w:sz="4" w:space="0" w:color="auto"/>
              <w:bottom w:val="nil"/>
              <w:right w:val="single" w:sz="4" w:space="0" w:color="auto"/>
            </w:tcBorders>
            <w:shd w:val="clear" w:color="auto" w:fill="F2F2F2" w:themeFill="background1" w:themeFillShade="F2"/>
            <w:vAlign w:val="center"/>
          </w:tcPr>
          <w:p w14:paraId="4C612086"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- 1282</w:t>
            </w:r>
            <w:proofErr w:type="gramStart"/>
            <w:r w:rsidRPr="000406C6">
              <w:rPr>
                <w:rFonts w:ascii="Times New Roman" w:eastAsia="Times New Roman" w:hAnsi="Times New Roman" w:cs="Times New Roman"/>
                <w:bCs/>
                <w:sz w:val="18"/>
                <w:szCs w:val="18"/>
                <w:lang w:val="en-US"/>
              </w:rPr>
              <w:t>mp  /</w:t>
            </w:r>
            <w:proofErr w:type="gramEnd"/>
            <w:r w:rsidRPr="000406C6">
              <w:rPr>
                <w:rFonts w:ascii="Times New Roman" w:eastAsia="Times New Roman" w:hAnsi="Times New Roman" w:cs="Times New Roman"/>
                <w:bCs/>
                <w:sz w:val="18"/>
                <w:szCs w:val="18"/>
                <w:lang w:val="en-US"/>
              </w:rPr>
              <w:t xml:space="preserve"> 1170mp </w:t>
            </w:r>
          </w:p>
          <w:p w14:paraId="55590385" w14:textId="452986E0"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proofErr w:type="gramStart"/>
            <w:r w:rsidRPr="000406C6">
              <w:rPr>
                <w:rFonts w:ascii="Times New Roman" w:eastAsia="Times New Roman" w:hAnsi="Times New Roman" w:cs="Times New Roman"/>
                <w:bCs/>
                <w:sz w:val="18"/>
                <w:szCs w:val="18"/>
                <w:lang w:val="en-US"/>
              </w:rPr>
              <w:t>se</w:t>
            </w:r>
            <w:proofErr w:type="spellEnd"/>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nil"/>
              <w:right w:val="single" w:sz="4" w:space="0" w:color="auto"/>
            </w:tcBorders>
            <w:shd w:val="clear" w:color="auto" w:fill="F2F2F2" w:themeFill="background1" w:themeFillShade="F2"/>
          </w:tcPr>
          <w:p w14:paraId="52E8EBD1" w14:textId="4D6168D6"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r w:rsidR="00AE261D" w:rsidRPr="00AE1A0A" w14:paraId="2F1B5109" w14:textId="77777777" w:rsidTr="00AE261D">
        <w:trPr>
          <w:trHeight w:val="675"/>
        </w:trPr>
        <w:tc>
          <w:tcPr>
            <w:tcW w:w="422" w:type="dxa"/>
            <w:tcBorders>
              <w:top w:val="single" w:sz="4" w:space="0" w:color="auto"/>
              <w:left w:val="single" w:sz="4" w:space="0" w:color="auto"/>
              <w:bottom w:val="single" w:sz="4" w:space="0" w:color="auto"/>
              <w:right w:val="single" w:sz="4" w:space="0" w:color="auto"/>
            </w:tcBorders>
          </w:tcPr>
          <w:p w14:paraId="3EE6CB57"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39B7A" w14:textId="3607ADD8" w:rsidR="00AE261D" w:rsidRPr="00F3542E"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SB</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06D1E" w14:textId="5953E3DB" w:rsidR="00AE261D" w:rsidRPr="00F3542E"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Sibiu</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Secţia</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Mediaș</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6CA8C" w14:textId="30A6336F"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(cu </w:t>
            </w:r>
            <w:proofErr w:type="spellStart"/>
            <w:r w:rsidRPr="000406C6">
              <w:rPr>
                <w:rFonts w:ascii="Times New Roman" w:eastAsia="Times New Roman" w:hAnsi="Times New Roman" w:cs="Times New Roman"/>
                <w:sz w:val="18"/>
                <w:szCs w:val="18"/>
                <w:lang w:val="en-US"/>
              </w:rPr>
              <w:t>garaje</w:t>
            </w:r>
            <w:proofErr w:type="spellEnd"/>
            <w:r w:rsidRPr="000406C6">
              <w:rPr>
                <w:rFonts w:ascii="Times New Roman" w:eastAsia="Times New Roman" w:hAnsi="Times New Roman" w:cs="Times New Roman"/>
                <w:sz w:val="18"/>
                <w:szCs w:val="18"/>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B554F8" w14:textId="47D7D09F"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1970</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898E87" w14:textId="58EA2ECD"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S+P+1E+M</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2DA21D" w14:textId="7AA8D17C"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S+P+1E+M</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15FA3"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482mp</w:t>
            </w:r>
          </w:p>
          <w:p w14:paraId="4C4EB227"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1602,09mp</w:t>
            </w:r>
          </w:p>
          <w:p w14:paraId="75B120E7" w14:textId="02155604"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gramStart"/>
            <w:r w:rsidRPr="000406C6">
              <w:rPr>
                <w:rFonts w:ascii="Times New Roman" w:eastAsia="Times New Roman" w:hAnsi="Times New Roman" w:cs="Times New Roman"/>
                <w:bCs/>
                <w:sz w:val="18"/>
                <w:szCs w:val="18"/>
                <w:lang w:val="en-US"/>
              </w:rPr>
              <w:t>cu</w:t>
            </w:r>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042D31"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1602</w:t>
            </w:r>
            <w:proofErr w:type="gramEnd"/>
            <w:r w:rsidRPr="000406C6">
              <w:rPr>
                <w:rFonts w:ascii="Times New Roman" w:eastAsia="Times New Roman" w:hAnsi="Times New Roman" w:cs="Times New Roman"/>
                <w:bCs/>
                <w:sz w:val="18"/>
                <w:szCs w:val="18"/>
                <w:lang w:val="en-US"/>
              </w:rPr>
              <w:t>mp</w:t>
            </w:r>
          </w:p>
          <w:p w14:paraId="27482D1D" w14:textId="76469E69" w:rsidR="00AE261D" w:rsidRPr="00F3542E"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proofErr w:type="gramStart"/>
            <w:r w:rsidRPr="000406C6">
              <w:rPr>
                <w:rFonts w:ascii="Times New Roman" w:eastAsia="Times New Roman" w:hAnsi="Times New Roman" w:cs="Times New Roman"/>
                <w:bCs/>
                <w:sz w:val="18"/>
                <w:szCs w:val="18"/>
                <w:lang w:val="en-US"/>
              </w:rPr>
              <w:t>se</w:t>
            </w:r>
            <w:proofErr w:type="spellEnd"/>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77A4B" w14:textId="316CF1DC" w:rsidR="00AE261D" w:rsidRPr="00F3542E"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tc>
      </w:tr>
      <w:tr w:rsidR="00AE261D" w:rsidRPr="00AE1A0A" w14:paraId="2D08DD1D" w14:textId="77777777" w:rsidTr="00C85012">
        <w:trPr>
          <w:trHeight w:val="675"/>
        </w:trPr>
        <w:tc>
          <w:tcPr>
            <w:tcW w:w="422" w:type="dxa"/>
            <w:tcBorders>
              <w:top w:val="single" w:sz="4" w:space="0" w:color="auto"/>
              <w:left w:val="single" w:sz="4" w:space="0" w:color="auto"/>
              <w:bottom w:val="single" w:sz="4" w:space="0" w:color="auto"/>
              <w:right w:val="single" w:sz="4" w:space="0" w:color="auto"/>
            </w:tcBorders>
          </w:tcPr>
          <w:p w14:paraId="450A3DF3" w14:textId="77777777" w:rsidR="00AE261D" w:rsidRPr="00AE1A0A" w:rsidRDefault="00AE261D" w:rsidP="00AE261D">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F76AB8" w14:textId="366B5F68" w:rsidR="00AE261D" w:rsidRPr="00AE1A0A" w:rsidRDefault="00AE261D" w:rsidP="00AE261D">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CJ</w:t>
            </w:r>
          </w:p>
        </w:tc>
        <w:tc>
          <w:tcPr>
            <w:tcW w:w="1416" w:type="dxa"/>
            <w:tcBorders>
              <w:top w:val="nil"/>
              <w:left w:val="single" w:sz="4" w:space="0" w:color="auto"/>
              <w:bottom w:val="single" w:sz="8" w:space="0" w:color="auto"/>
              <w:right w:val="single" w:sz="4" w:space="0" w:color="auto"/>
            </w:tcBorders>
            <w:shd w:val="clear" w:color="auto" w:fill="F2F2F2" w:themeFill="background1" w:themeFillShade="F2"/>
            <w:vAlign w:val="center"/>
          </w:tcPr>
          <w:p w14:paraId="12C5EDB6" w14:textId="5037DBB1" w:rsidR="00AE261D" w:rsidRPr="00AE1A0A" w:rsidRDefault="00AE261D" w:rsidP="00AE261D">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Cluj</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Turda</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D22ED" w14:textId="6F57DC2B"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1C6B3" w14:textId="3FBDECBE"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1959</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E08A63" w14:textId="74C50E4A"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29A4C5" w14:textId="1E7162F9"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69194"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968mp</w:t>
            </w:r>
          </w:p>
          <w:p w14:paraId="6B2B8FBD"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1936</w:t>
            </w:r>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mp</w:t>
            </w:r>
            <w:proofErr w:type="spellEnd"/>
          </w:p>
          <w:p w14:paraId="16A30B3C" w14:textId="01362F9D"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gramStart"/>
            <w:r w:rsidRPr="000406C6">
              <w:rPr>
                <w:rFonts w:ascii="Times New Roman" w:eastAsia="Times New Roman" w:hAnsi="Times New Roman" w:cs="Times New Roman"/>
                <w:bCs/>
                <w:sz w:val="18"/>
                <w:szCs w:val="18"/>
                <w:lang w:val="en-US"/>
              </w:rPr>
              <w:t>cu</w:t>
            </w:r>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3D769C" w14:textId="77777777" w:rsidR="00AE261D" w:rsidRPr="000406C6"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1936 </w:t>
            </w:r>
            <w:proofErr w:type="spellStart"/>
            <w:r w:rsidRPr="000406C6">
              <w:rPr>
                <w:rFonts w:ascii="Times New Roman" w:eastAsia="Times New Roman" w:hAnsi="Times New Roman" w:cs="Times New Roman"/>
                <w:bCs/>
                <w:sz w:val="18"/>
                <w:szCs w:val="18"/>
                <w:lang w:val="en-US"/>
              </w:rPr>
              <w:t>mp</w:t>
            </w:r>
            <w:proofErr w:type="spellEnd"/>
          </w:p>
          <w:p w14:paraId="07F2C555" w14:textId="3CFC13FA" w:rsidR="00AE261D" w:rsidRPr="00AE1A0A" w:rsidRDefault="00AE261D" w:rsidP="00AE261D">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proofErr w:type="gramStart"/>
            <w:r w:rsidRPr="000406C6">
              <w:rPr>
                <w:rFonts w:ascii="Times New Roman" w:eastAsia="Times New Roman" w:hAnsi="Times New Roman" w:cs="Times New Roman"/>
                <w:bCs/>
                <w:sz w:val="18"/>
                <w:szCs w:val="18"/>
                <w:lang w:val="en-US"/>
              </w:rPr>
              <w:t>se</w:t>
            </w:r>
            <w:proofErr w:type="spellEnd"/>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974320" w14:textId="77777777" w:rsidR="00AE261D" w:rsidRPr="000406C6"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p w14:paraId="0788FAC4" w14:textId="1EF6EC48" w:rsidR="00AE261D" w:rsidRPr="00AE1A0A" w:rsidRDefault="00AE261D" w:rsidP="00AE261D">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bl>
    <w:p w14:paraId="075AACB6" w14:textId="67860E3E" w:rsidR="00921B97" w:rsidRDefault="00041EF9" w:rsidP="00BC4FDC">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74D3D7CC" w14:textId="7E0AA48B" w:rsidR="00736D52" w:rsidRDefault="00736D52"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3"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3"/>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AE1A0A" w:rsidRDefault="00DE3BEA" w:rsidP="00CD73F2">
      <w:pPr>
        <w:pStyle w:val="ListParagraph"/>
        <w:widowControl w:val="0"/>
        <w:tabs>
          <w:tab w:val="left" w:pos="567"/>
        </w:tabs>
        <w:autoSpaceDE w:val="0"/>
        <w:autoSpaceDN w:val="0"/>
        <w:adjustRightInd w:val="0"/>
        <w:spacing w:before="60" w:after="60" w:line="240" w:lineRule="auto"/>
        <w:ind w:left="36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lastRenderedPageBreak/>
        <w:t xml:space="preserve">Ca urmare a evaluării seismice, clădirea va fi încadrată </w:t>
      </w:r>
      <w:r w:rsidR="00CD73F2" w:rsidRPr="00AE1A0A">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AE1A0A">
        <w:rPr>
          <w:rFonts w:ascii="Times New Roman" w:eastAsia="Times New Roman" w:hAnsi="Times New Roman" w:cs="Times New Roman"/>
          <w:sz w:val="24"/>
          <w:szCs w:val="24"/>
        </w:rPr>
        <w:t xml:space="preserve">Mai multe detalii privind cerințele de evaluare seismică </w:t>
      </w:r>
      <w:r w:rsidRPr="00AE1A0A">
        <w:rPr>
          <w:rFonts w:ascii="Times New Roman" w:eastAsia="Times New Roman" w:hAnsi="Times New Roman" w:cs="Times New Roman"/>
          <w:sz w:val="24"/>
          <w:szCs w:val="24"/>
        </w:rPr>
        <w:t xml:space="preserve">se regăsesc </w:t>
      </w:r>
      <w:r w:rsidR="00CD73F2" w:rsidRPr="00AE1A0A">
        <w:rPr>
          <w:rFonts w:ascii="Times New Roman" w:eastAsia="Times New Roman" w:hAnsi="Times New Roman" w:cs="Times New Roman"/>
          <w:sz w:val="24"/>
          <w:szCs w:val="24"/>
        </w:rPr>
        <w:t>în anexa B.</w:t>
      </w:r>
    </w:p>
    <w:p w14:paraId="5E4E0670" w14:textId="51165543" w:rsidR="009553CB" w:rsidRPr="00AE1A0A" w:rsidRDefault="00A13244" w:rsidP="005E3017">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AE1A0A" w:rsidRDefault="007515EF" w:rsidP="005E3017">
      <w:pPr>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va analiza posibilitatea desființării și înlocuirii clădirilor existente ca măsură de intervenție maximală în condițiile specifice ale amplasamentului (ținând seama de vecinătăți).</w:t>
      </w:r>
    </w:p>
    <w:p w14:paraId="65BF4215" w14:textId="31263588" w:rsidR="00C1289D" w:rsidRPr="00AE1A0A" w:rsidRDefault="000130C2" w:rsidP="00905ABA">
      <w:pPr>
        <w:autoSpaceDE w:val="0"/>
        <w:autoSpaceDN w:val="0"/>
        <w:adjustRightInd w:val="0"/>
        <w:spacing w:after="0" w:line="240" w:lineRule="auto"/>
        <w:jc w:val="both"/>
        <w:rPr>
          <w:rFonts w:ascii="Times New Roman" w:eastAsia="Times New Roman" w:hAnsi="Times New Roman" w:cs="Times New Roman"/>
          <w:sz w:val="24"/>
          <w:szCs w:val="24"/>
        </w:rPr>
      </w:pPr>
      <w:bookmarkStart w:id="4" w:name="_Hlk77325341"/>
      <w:r w:rsidRPr="000130C2">
        <w:rPr>
          <w:rFonts w:ascii="Times New Roman" w:eastAsia="Times New Roman" w:hAnsi="Times New Roman" w:cs="Times New Roman"/>
          <w:sz w:val="24"/>
          <w:szCs w:val="24"/>
        </w:rPr>
        <w:t>Consultantul va avea în vedere că datorită cerințelor privind eficiența energetică va trebui să ia în considerare posibilele încărcări suplimentare datorate anvelopării clădirilor, precum și datorate unor eventuale echipamente aferente sistemelor alternative de eficiență energetică ridicată, conform O.G. 13/2016 (ex. vata minerala bazaltică 15-20 cm, panouri fotovoltaice amplasate pe acoperis, unități exterioare pentru climatizare amplasate pe acoperiș etc.).</w:t>
      </w:r>
      <w:bookmarkEnd w:id="4"/>
    </w:p>
    <w:p w14:paraId="1597566C" w14:textId="79FE91A7" w:rsidR="00905ABA" w:rsidRPr="00AE1A0A" w:rsidRDefault="00607DF7" w:rsidP="00CF3FFC">
      <w:pPr>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07C47741" w14:textId="23C642DC" w:rsidR="00905ABA" w:rsidRPr="00CF3FFC" w:rsidRDefault="00905ABA" w:rsidP="00905ABA">
      <w:pPr>
        <w:autoSpaceDE w:val="0"/>
        <w:autoSpaceDN w:val="0"/>
        <w:adjustRightInd w:val="0"/>
        <w:spacing w:after="0" w:line="240" w:lineRule="auto"/>
        <w:jc w:val="both"/>
        <w:rPr>
          <w:rFonts w:ascii="Times New Roman" w:eastAsia="Times New Roman" w:hAnsi="Times New Roman" w:cs="Times New Roman"/>
          <w:b/>
          <w:bCs/>
          <w:sz w:val="24"/>
          <w:szCs w:val="24"/>
        </w:rPr>
      </w:pPr>
      <w:r w:rsidRPr="00CF3FFC">
        <w:rPr>
          <w:rFonts w:ascii="Times New Roman" w:eastAsia="Times New Roman" w:hAnsi="Times New Roman" w:cs="Times New Roman"/>
          <w:b/>
          <w:bCs/>
          <w:sz w:val="24"/>
          <w:szCs w:val="24"/>
        </w:rPr>
        <w:t xml:space="preserve">Prin măsurile de </w:t>
      </w:r>
      <w:r w:rsidR="00B74205" w:rsidRPr="00CF3FFC">
        <w:rPr>
          <w:rFonts w:ascii="Times New Roman" w:eastAsia="Times New Roman" w:hAnsi="Times New Roman" w:cs="Times New Roman"/>
          <w:b/>
          <w:bCs/>
          <w:sz w:val="24"/>
          <w:szCs w:val="24"/>
        </w:rPr>
        <w:t>intervenţie</w:t>
      </w:r>
      <w:r w:rsidRPr="00CF3FFC">
        <w:rPr>
          <w:rFonts w:ascii="Times New Roman" w:eastAsia="Times New Roman" w:hAnsi="Times New Roman" w:cs="Times New Roman"/>
          <w:b/>
          <w:bCs/>
          <w:sz w:val="24"/>
          <w:szCs w:val="24"/>
        </w:rPr>
        <w:t xml:space="preserve"> propuse, </w:t>
      </w:r>
      <w:r w:rsidRPr="00CF3FFC">
        <w:rPr>
          <w:rFonts w:ascii="Times New Roman" w:eastAsia="Times New Roman" w:hAnsi="Times New Roman" w:cs="Times New Roman"/>
          <w:sz w:val="24"/>
          <w:szCs w:val="24"/>
        </w:rPr>
        <w:t>se va avea în vedere ca</w:t>
      </w:r>
      <w:r w:rsidRPr="00CF3FFC">
        <w:rPr>
          <w:rFonts w:ascii="Times New Roman" w:eastAsia="Times New Roman" w:hAnsi="Times New Roman" w:cs="Times New Roman"/>
          <w:b/>
          <w:bCs/>
          <w:sz w:val="24"/>
          <w:szCs w:val="24"/>
        </w:rPr>
        <w:t xml:space="preserve"> suprafețele utile rezultate să corespundă cerințelor funcționale. Astfel se va </w:t>
      </w:r>
      <w:r w:rsidR="00303730" w:rsidRPr="00CF3FFC">
        <w:rPr>
          <w:rFonts w:ascii="Times New Roman" w:eastAsia="Times New Roman" w:hAnsi="Times New Roman" w:cs="Times New Roman"/>
          <w:b/>
          <w:bCs/>
          <w:sz w:val="24"/>
          <w:szCs w:val="24"/>
        </w:rPr>
        <w:t>păstra un</w:t>
      </w:r>
      <w:r w:rsidRPr="00CF3FFC">
        <w:rPr>
          <w:rFonts w:ascii="Times New Roman" w:eastAsia="Times New Roman" w:hAnsi="Times New Roman" w:cs="Times New Roman"/>
          <w:b/>
          <w:bCs/>
          <w:sz w:val="24"/>
          <w:szCs w:val="24"/>
        </w:rPr>
        <w:t xml:space="preserve"> volumul optim necesar pentru căi de acces, goluri funcționale, gabarite spații, etc. </w:t>
      </w:r>
    </w:p>
    <w:p w14:paraId="1CB73D6D" w14:textId="77777777" w:rsidR="00CC7264" w:rsidRPr="00AE1A0A" w:rsidRDefault="00CC7264"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71FA3A29" w14:textId="697499BC" w:rsidR="002D288B" w:rsidRPr="00AE1A0A"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(două soluții detaliate: </w:t>
      </w:r>
      <w:r w:rsidR="00884521" w:rsidRPr="00AE1A0A">
        <w:rPr>
          <w:rFonts w:ascii="Times New Roman" w:eastAsia="Times New Roman" w:hAnsi="Times New Roman" w:cs="Times New Roman"/>
          <w:sz w:val="24"/>
          <w:szCs w:val="24"/>
        </w:rPr>
        <w:t>variant</w:t>
      </w:r>
      <w:r w:rsidR="00884521">
        <w:rPr>
          <w:rFonts w:ascii="Times New Roman" w:eastAsia="Times New Roman" w:hAnsi="Times New Roman" w:cs="Times New Roman"/>
          <w:sz w:val="24"/>
          <w:szCs w:val="24"/>
        </w:rPr>
        <w:t>a</w:t>
      </w:r>
      <w:r w:rsidR="00884521" w:rsidRPr="00AE1A0A">
        <w:rPr>
          <w:rFonts w:ascii="Times New Roman" w:eastAsia="Times New Roman" w:hAnsi="Times New Roman" w:cs="Times New Roman"/>
          <w:sz w:val="24"/>
          <w:szCs w:val="24"/>
        </w:rPr>
        <w:t xml:space="preserve"> minimal</w:t>
      </w:r>
      <w:r w:rsidR="00884521">
        <w:rPr>
          <w:rFonts w:ascii="Times New Roman" w:eastAsia="Times New Roman" w:hAnsi="Times New Roman" w:cs="Times New Roman"/>
          <w:sz w:val="24"/>
          <w:szCs w:val="24"/>
        </w:rPr>
        <w:t>ă</w:t>
      </w:r>
      <w:r w:rsidRPr="00AE1A0A">
        <w:rPr>
          <w:rFonts w:ascii="Times New Roman" w:eastAsia="Times New Roman" w:hAnsi="Times New Roman" w:cs="Times New Roman"/>
          <w:sz w:val="24"/>
          <w:szCs w:val="24"/>
        </w:rPr>
        <w:t xml:space="preserve">/ </w:t>
      </w:r>
      <w:r w:rsidR="00884521" w:rsidRPr="00AE1A0A">
        <w:rPr>
          <w:rFonts w:ascii="Times New Roman" w:eastAsia="Times New Roman" w:hAnsi="Times New Roman" w:cs="Times New Roman"/>
          <w:sz w:val="24"/>
          <w:szCs w:val="24"/>
        </w:rPr>
        <w:t>variant</w:t>
      </w:r>
      <w:r w:rsidR="00884521">
        <w:rPr>
          <w:rFonts w:ascii="Times New Roman" w:eastAsia="Times New Roman" w:hAnsi="Times New Roman" w:cs="Times New Roman"/>
          <w:sz w:val="24"/>
          <w:szCs w:val="24"/>
        </w:rPr>
        <w:t>a</w:t>
      </w:r>
      <w:r w:rsidR="00884521" w:rsidRPr="00AE1A0A">
        <w:rPr>
          <w:rFonts w:ascii="Times New Roman" w:eastAsia="Times New Roman" w:hAnsi="Times New Roman" w:cs="Times New Roman"/>
          <w:sz w:val="24"/>
          <w:szCs w:val="24"/>
        </w:rPr>
        <w:t xml:space="preserve"> maximal</w:t>
      </w:r>
      <w:r w:rsidR="00884521">
        <w:rPr>
          <w:rFonts w:ascii="Times New Roman" w:eastAsia="Times New Roman" w:hAnsi="Times New Roman" w:cs="Times New Roman"/>
          <w:sz w:val="24"/>
          <w:szCs w:val="24"/>
        </w:rPr>
        <w:t>ă</w:t>
      </w:r>
      <w:r w:rsidRPr="00AE1A0A">
        <w:rPr>
          <w:rFonts w:ascii="Times New Roman" w:eastAsia="Times New Roman" w:hAnsi="Times New Roman" w:cs="Times New Roman"/>
          <w:sz w:val="24"/>
          <w:szCs w:val="24"/>
        </w:rPr>
        <w:t>)</w:t>
      </w:r>
      <w:r w:rsidR="00884521">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Soluțiile vor fi clare pentru a putea concluziona fezabilitatea acestora și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0FFA8ED0"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ori de câte ori sunt identificate noi aspecte tehnice, iar aceste noi date/informații obținute ar putea modifica soluțiile tehnice estimate inițial pentru viitoarele investiții.</w:t>
      </w:r>
      <w:r w:rsidR="006810DD" w:rsidRPr="00AE1A0A">
        <w:rPr>
          <w:rFonts w:ascii="Times New Roman" w:eastAsia="Times New Roman" w:hAnsi="Times New Roman" w:cs="Times New Roman"/>
          <w:iCs/>
          <w:sz w:val="24"/>
          <w:szCs w:val="24"/>
        </w:rPr>
        <w:t>.</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DURATA SERVICIILOR</w:t>
      </w:r>
    </w:p>
    <w:p w14:paraId="15E51F99" w14:textId="3BF52F0A" w:rsidR="00A458DA" w:rsidRPr="002247ED"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2247ED">
        <w:rPr>
          <w:rFonts w:ascii="Times New Roman" w:eastAsia="Times New Roman" w:hAnsi="Times New Roman" w:cs="Times New Roman"/>
          <w:sz w:val="24"/>
          <w:szCs w:val="24"/>
          <w:lang w:eastAsia="hr-HR"/>
        </w:rPr>
        <w:t xml:space="preserve">Serviciile de evaluare tehnică pentru toate cele </w:t>
      </w:r>
      <w:r w:rsidR="002247ED">
        <w:rPr>
          <w:rFonts w:ascii="Times New Roman" w:eastAsia="Times New Roman" w:hAnsi="Times New Roman" w:cs="Times New Roman"/>
          <w:sz w:val="24"/>
          <w:szCs w:val="24"/>
          <w:lang w:eastAsia="hr-HR"/>
        </w:rPr>
        <w:t>3</w:t>
      </w:r>
      <w:r w:rsidR="002247ED" w:rsidRPr="002247ED">
        <w:rPr>
          <w:rFonts w:ascii="Times New Roman" w:eastAsia="Times New Roman" w:hAnsi="Times New Roman" w:cs="Times New Roman"/>
          <w:sz w:val="24"/>
          <w:szCs w:val="24"/>
          <w:lang w:eastAsia="hr-HR"/>
        </w:rPr>
        <w:t xml:space="preserve"> </w:t>
      </w:r>
      <w:r w:rsidRPr="002247ED">
        <w:rPr>
          <w:rFonts w:ascii="Times New Roman" w:eastAsia="Times New Roman" w:hAnsi="Times New Roman" w:cs="Times New Roman"/>
          <w:sz w:val="24"/>
          <w:szCs w:val="24"/>
          <w:lang w:eastAsia="hr-HR"/>
        </w:rPr>
        <w:t xml:space="preserve">obiective de investiții vor fi finalizate în max. </w:t>
      </w:r>
      <w:r w:rsidR="002247ED">
        <w:rPr>
          <w:rFonts w:ascii="Times New Roman" w:eastAsia="Times New Roman" w:hAnsi="Times New Roman" w:cs="Times New Roman"/>
          <w:sz w:val="24"/>
          <w:szCs w:val="24"/>
          <w:lang w:eastAsia="hr-HR"/>
        </w:rPr>
        <w:t>90</w:t>
      </w:r>
      <w:r w:rsidR="002247ED" w:rsidRPr="002247ED">
        <w:rPr>
          <w:rFonts w:ascii="Times New Roman" w:eastAsia="Times New Roman" w:hAnsi="Times New Roman" w:cs="Times New Roman"/>
          <w:sz w:val="24"/>
          <w:szCs w:val="24"/>
          <w:lang w:eastAsia="hr-HR"/>
        </w:rPr>
        <w:t xml:space="preserve"> </w:t>
      </w:r>
      <w:r w:rsidRPr="002247ED">
        <w:rPr>
          <w:rFonts w:ascii="Times New Roman" w:eastAsia="Times New Roman" w:hAnsi="Times New Roman" w:cs="Times New Roman"/>
          <w:sz w:val="24"/>
          <w:szCs w:val="24"/>
          <w:lang w:eastAsia="hr-HR"/>
        </w:rPr>
        <w:t>zile de la semnarea contractului și asigurarea accesului la amplasamente (Proces Verbal de predare amplasament), în două etape:</w:t>
      </w:r>
    </w:p>
    <w:p w14:paraId="544B8828" w14:textId="1CDD55DD" w:rsidR="00BC4FDC" w:rsidRDefault="005A6182" w:rsidP="004801A0">
      <w:pPr>
        <w:shd w:val="clear" w:color="auto" w:fill="FFFFFF"/>
        <w:spacing w:after="120" w:line="240" w:lineRule="auto"/>
        <w:jc w:val="both"/>
        <w:rPr>
          <w:rFonts w:ascii="Times New Roman" w:hAnsi="Times New Roman" w:cs="Times New Roman"/>
          <w:iCs/>
          <w:sz w:val="24"/>
          <w:szCs w:val="24"/>
        </w:rPr>
      </w:pPr>
      <w:r w:rsidRPr="002247ED">
        <w:rPr>
          <w:rFonts w:ascii="Times New Roman" w:hAnsi="Times New Roman" w:cs="Times New Roman"/>
          <w:iCs/>
          <w:sz w:val="24"/>
          <w:szCs w:val="24"/>
        </w:rPr>
        <w:t>Termenele menționate au caracter maximal, iar ”zile” reprezintă zile calendaristice.</w:t>
      </w:r>
    </w:p>
    <w:p w14:paraId="010F2444" w14:textId="77777777" w:rsidR="009E201F" w:rsidRPr="00AE1A0A" w:rsidRDefault="009E201F" w:rsidP="009E201F">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lastRenderedPageBreak/>
        <w:t xml:space="preserve">OBLIGAȚIILE CONSULTANTULUI DE PRESTARE A SERVICIILOR ȘI PREDARE A RAPOARTELOR </w:t>
      </w:r>
    </w:p>
    <w:p w14:paraId="3CEF04D8"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38999887" w14:textId="77777777" w:rsidR="009E201F" w:rsidRDefault="009E201F" w:rsidP="003755B6">
      <w:pPr>
        <w:pStyle w:val="ListParagraph"/>
        <w:autoSpaceDE w:val="0"/>
        <w:autoSpaceDN w:val="0"/>
        <w:adjustRightInd w:val="0"/>
        <w:spacing w:after="12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Pr="00AE1A0A">
        <w:rPr>
          <w:rFonts w:ascii="Times New Roman" w:eastAsia="Times New Roman" w:hAnsi="Times New Roman" w:cs="Times New Roman"/>
          <w:sz w:val="24"/>
          <w:szCs w:val="24"/>
        </w:rPr>
        <w:t xml:space="preserve"> va furniza serviciile solicitate cu respectarea termenelor de la secțiunea C de mai sus și predarea </w:t>
      </w:r>
      <w:r w:rsidRPr="00AE1A0A">
        <w:rPr>
          <w:rFonts w:ascii="Times New Roman" w:eastAsia="Times New Roman" w:hAnsi="Times New Roman" w:cs="Times New Roman"/>
          <w:b/>
          <w:bCs/>
          <w:sz w:val="24"/>
          <w:szCs w:val="24"/>
        </w:rPr>
        <w:t>Rapoartelor de Expertiză Tehnică</w:t>
      </w:r>
      <w:r w:rsidRPr="00AE1A0A">
        <w:rPr>
          <w:rFonts w:ascii="Times New Roman" w:eastAsia="Times New Roman" w:hAnsi="Times New Roman" w:cs="Times New Roman"/>
          <w:sz w:val="24"/>
          <w:szCs w:val="24"/>
        </w:rPr>
        <w:t>.</w:t>
      </w:r>
    </w:p>
    <w:p w14:paraId="777D51F9" w14:textId="77777777" w:rsidR="009E201F" w:rsidRPr="00641438" w:rsidRDefault="009E201F" w:rsidP="003755B6">
      <w:pPr>
        <w:pStyle w:val="ListParagraph"/>
        <w:autoSpaceDE w:val="0"/>
        <w:autoSpaceDN w:val="0"/>
        <w:adjustRightInd w:val="0"/>
        <w:spacing w:after="12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Rapoartele de Expertiză Tehnică vor fi întocmite cu respectarea legislației în vigoare, în special cu respectarea prevederilor </w:t>
      </w:r>
      <w:r w:rsidRPr="00B96242">
        <w:rPr>
          <w:rFonts w:ascii="Times New Roman" w:eastAsia="Times New Roman" w:hAnsi="Times New Roman" w:cs="Times New Roman"/>
          <w:i/>
          <w:iCs/>
          <w:sz w:val="24"/>
          <w:szCs w:val="24"/>
        </w:rPr>
        <w:t>art. 8.2 Conținutul raportului de expertiză tehnică</w:t>
      </w:r>
      <w:r>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B96242">
        <w:rPr>
          <w:rFonts w:ascii="Times New Roman" w:hAnsi="Times New Roman" w:cs="Times New Roman"/>
          <w:color w:val="000000"/>
          <w:sz w:val="24"/>
          <w:szCs w:val="24"/>
          <w:shd w:val="clear" w:color="auto" w:fill="FFFFFF"/>
        </w:rPr>
        <w:t xml:space="preserve">Ordinul </w:t>
      </w:r>
      <w:r w:rsidRPr="00CD33DC">
        <w:rPr>
          <w:rFonts w:ascii="Times New Roman" w:hAnsi="Times New Roman" w:cs="Times New Roman"/>
          <w:color w:val="000000"/>
          <w:sz w:val="24"/>
          <w:szCs w:val="24"/>
          <w:shd w:val="clear" w:color="auto" w:fill="FFFFFF"/>
        </w:rPr>
        <w:t>nr. 2834 din 09.10.2019</w:t>
      </w:r>
      <w:r>
        <w:rPr>
          <w:rFonts w:ascii="Times New Roman" w:hAnsi="Times New Roman" w:cs="Times New Roman"/>
          <w:color w:val="000000"/>
          <w:sz w:val="24"/>
          <w:szCs w:val="24"/>
          <w:shd w:val="clear" w:color="auto" w:fill="FFFFFF"/>
        </w:rPr>
        <w:t xml:space="preserve"> al </w:t>
      </w:r>
      <w:r w:rsidRPr="00B96242">
        <w:rPr>
          <w:rFonts w:ascii="Times New Roman" w:hAnsi="Times New Roman" w:cs="Times New Roman"/>
          <w:color w:val="000000"/>
          <w:sz w:val="24"/>
          <w:szCs w:val="24"/>
          <w:shd w:val="clear" w:color="auto" w:fill="FFFFFF"/>
        </w:rPr>
        <w:t>Ministru</w:t>
      </w:r>
      <w:r>
        <w:rPr>
          <w:rFonts w:ascii="Times New Roman" w:hAnsi="Times New Roman" w:cs="Times New Roman"/>
          <w:color w:val="000000"/>
          <w:sz w:val="24"/>
          <w:szCs w:val="24"/>
          <w:shd w:val="clear" w:color="auto" w:fill="FFFFFF"/>
        </w:rPr>
        <w:t>lui MDRAP</w:t>
      </w:r>
      <w:r w:rsidRPr="00B96242">
        <w:rPr>
          <w:rFonts w:ascii="Times New Roman" w:hAnsi="Times New Roman" w:cs="Times New Roman"/>
          <w:color w:val="000000"/>
          <w:sz w:val="24"/>
          <w:szCs w:val="24"/>
          <w:shd w:val="clear" w:color="auto" w:fill="FFFFFF"/>
        </w:rPr>
        <w:t>, publicat în Monitorul Oficial nr 1003 bis din 13.12.2019.</w:t>
      </w:r>
    </w:p>
    <w:p w14:paraId="3A4AE509" w14:textId="5DF25628" w:rsidR="009E201F" w:rsidRPr="003755B6" w:rsidRDefault="009E201F" w:rsidP="003755B6">
      <w:pPr>
        <w:pStyle w:val="ListParagraph"/>
        <w:spacing w:after="12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6641598B" w14:textId="77777777" w:rsidR="009E201F" w:rsidRPr="00AE1A0A" w:rsidRDefault="009E201F" w:rsidP="003755B6">
      <w:pPr>
        <w:tabs>
          <w:tab w:val="left" w:pos="0"/>
        </w:tabs>
        <w:autoSpaceDE w:val="0"/>
        <w:autoSpaceDN w:val="0"/>
        <w:adjustRightInd w:val="0"/>
        <w:spacing w:after="120" w:line="240" w:lineRule="auto"/>
        <w:jc w:val="both"/>
        <w:rPr>
          <w:rFonts w:ascii="Times New Roman" w:eastAsia="Times New Roman" w:hAnsi="Times New Roman" w:cs="Times New Roman"/>
          <w:bCs/>
          <w:iCs/>
          <w:strike/>
          <w:sz w:val="24"/>
          <w:szCs w:val="24"/>
        </w:rPr>
      </w:pPr>
      <w:bookmarkStart w:id="5" w:name="_Hlk21678670"/>
      <w:r w:rsidRPr="00AE1A0A">
        <w:rPr>
          <w:rFonts w:ascii="Times New Roman" w:eastAsia="Times New Roman" w:hAnsi="Times New Roman" w:cs="Times New Roman"/>
          <w:bCs/>
          <w:sz w:val="24"/>
          <w:szCs w:val="24"/>
        </w:rPr>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 xml:space="preserve">Experți Tehnici Atestați pentru domeniile </w:t>
      </w:r>
      <w:r>
        <w:rPr>
          <w:rFonts w:ascii="Times New Roman" w:eastAsia="Times New Roman" w:hAnsi="Times New Roman" w:cs="Times New Roman"/>
          <w:bCs/>
          <w:sz w:val="24"/>
          <w:szCs w:val="24"/>
        </w:rPr>
        <w:t>A1 A2 rezistentă şi stabilitate pentru construcţii.</w:t>
      </w:r>
    </w:p>
    <w:p w14:paraId="74150A13" w14:textId="77777777" w:rsidR="009E201F" w:rsidRPr="00AE1A0A" w:rsidRDefault="009E201F" w:rsidP="003755B6">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 care va întocmi și semna raportul, dispune de toate datele necesare pentru a pregăti Rapoartele de expertiză tehnică. Prin urmare, realizarea studiilor topografice, geotehnice, a releveelor, a explorărilor referitoare la elementele din beton armat și a oricăror alte studii necesare întocmirii Rapoartelor de Expertiză tehnică intră în sarcina Consultantului.</w:t>
      </w:r>
    </w:p>
    <w:p w14:paraId="66308046" w14:textId="77777777" w:rsidR="009E201F" w:rsidRPr="00AE1A0A" w:rsidRDefault="009E201F" w:rsidP="003755B6">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este responsabil și va suporta toate costurile de deplasare în teren (transport, cazare, diurnă etc.), precum și costurile cu materialele și echipamentele necesare pentru întâlnirile tehnice/ consultative cu Clientul.</w:t>
      </w:r>
    </w:p>
    <w:p w14:paraId="371C982B" w14:textId="0D52CE5C" w:rsidR="007C5886" w:rsidRPr="00AE1A0A" w:rsidRDefault="009E201F" w:rsidP="003755B6">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costurile de mai sus vor fi incluse în propunerea financiară a Consultantului, care</w:t>
      </w:r>
      <w:r>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va fi ulterior parte din Contract.</w:t>
      </w:r>
    </w:p>
    <w:p w14:paraId="541F5944" w14:textId="77777777" w:rsidR="009E201F" w:rsidRPr="00AE1A0A" w:rsidRDefault="009E201F" w:rsidP="009E201F">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51B07904"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Pr="00AE1A0A">
        <w:rPr>
          <w:rFonts w:ascii="Times New Roman" w:eastAsia="Times New Roman" w:hAnsi="Times New Roman" w:cs="Times New Roman"/>
          <w:sz w:val="24"/>
          <w:szCs w:val="24"/>
        </w:rPr>
        <w:t xml:space="preserve"> de Expertiză Tehnică pentru fiecare obiectiv </w:t>
      </w:r>
      <w:r w:rsidRPr="00AE1A0A">
        <w:rPr>
          <w:rFonts w:ascii="Times New Roman" w:eastAsia="Times New Roman" w:hAnsi="Times New Roman"/>
          <w:bCs/>
          <w:iCs/>
          <w:sz w:val="24"/>
          <w:szCs w:val="24"/>
        </w:rPr>
        <w:t xml:space="preserve">în format </w:t>
      </w:r>
      <w:r w:rsidRPr="00AE1A0A">
        <w:rPr>
          <w:rFonts w:ascii="Times New Roman" w:eastAsia="Times New Roman" w:hAnsi="Times New Roman"/>
          <w:b/>
          <w:bCs/>
          <w:iCs/>
          <w:sz w:val="24"/>
          <w:szCs w:val="24"/>
        </w:rPr>
        <w:t xml:space="preserve">draft </w:t>
      </w:r>
      <w:r w:rsidRPr="00AE1A0A">
        <w:rPr>
          <w:rFonts w:ascii="Times New Roman" w:eastAsia="Times New Roman" w:hAnsi="Times New Roman"/>
          <w:bCs/>
          <w:iCs/>
          <w:sz w:val="24"/>
          <w:szCs w:val="24"/>
        </w:rPr>
        <w:t>vor fi predate la sediul Clientului, în termenele men</w:t>
      </w:r>
      <w:r>
        <w:rPr>
          <w:rFonts w:ascii="Times New Roman" w:eastAsia="Times New Roman" w:hAnsi="Times New Roman"/>
          <w:bCs/>
          <w:iCs/>
          <w:sz w:val="24"/>
          <w:szCs w:val="24"/>
        </w:rPr>
        <w:t>ț</w:t>
      </w:r>
      <w:r w:rsidRPr="00AE1A0A">
        <w:rPr>
          <w:rFonts w:ascii="Times New Roman" w:eastAsia="Times New Roman" w:hAnsi="Times New Roman"/>
          <w:bCs/>
          <w:iCs/>
          <w:sz w:val="24"/>
          <w:szCs w:val="24"/>
        </w:rPr>
        <w:t>ionate mai sus,</w:t>
      </w:r>
      <w:r w:rsidRPr="00AE1A0A">
        <w:rPr>
          <w:rFonts w:ascii="Times New Roman" w:eastAsia="Times New Roman" w:hAnsi="Times New Roman" w:cs="Times New Roman"/>
          <w:sz w:val="24"/>
          <w:szCs w:val="24"/>
          <w:lang w:eastAsia="hr-HR"/>
        </w:rPr>
        <w:t>în format electronic pe suport CD/DVD (SCANAT) și 1 (unu) exemplar tipărit.</w:t>
      </w:r>
    </w:p>
    <w:p w14:paraId="7A1F7D32"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6" w:name="_Hlk37416478"/>
      <w:bookmarkEnd w:id="5"/>
      <w:r w:rsidRPr="00AE1A0A">
        <w:rPr>
          <w:rFonts w:ascii="Times New Roman" w:eastAsia="Times New Roman" w:hAnsi="Times New Roman" w:cs="Times New Roman"/>
          <w:sz w:val="24"/>
          <w:szCs w:val="24"/>
        </w:rPr>
        <w:t xml:space="preserve">În termen de 10 zile, comisia de recepție numită de Client va analiza rapoartele în format draft și va transmite Consultantului observațiile sale prin email, cu confirmare de primire. Consultantul va încorpora observațiile primite în maxim 5 zile și va preda versiunile finale ale Rapoartelor de Expertiză Tehnică </w:t>
      </w:r>
      <w:r w:rsidRPr="00AE1A0A">
        <w:rPr>
          <w:rFonts w:ascii="Times New Roman" w:eastAsia="Times New Roman" w:hAnsi="Times New Roman"/>
          <w:bCs/>
          <w:iCs/>
          <w:sz w:val="24"/>
          <w:szCs w:val="24"/>
        </w:rPr>
        <w:t xml:space="preserve">în </w:t>
      </w:r>
      <w:r w:rsidRPr="00AE1A0A">
        <w:rPr>
          <w:rFonts w:ascii="Times New Roman" w:eastAsia="Times New Roman" w:hAnsi="Times New Roman"/>
          <w:b/>
          <w:bCs/>
          <w:iCs/>
          <w:sz w:val="24"/>
          <w:szCs w:val="24"/>
        </w:rPr>
        <w:t xml:space="preserve">original </w:t>
      </w:r>
      <w:r w:rsidRPr="00AE1A0A">
        <w:rPr>
          <w:rFonts w:ascii="Times New Roman" w:eastAsia="Times New Roman" w:hAnsi="Times New Roman"/>
          <w:bCs/>
          <w:iCs/>
          <w:sz w:val="24"/>
          <w:szCs w:val="24"/>
        </w:rPr>
        <w:t>la sediul Clientului, după cum urmează</w:t>
      </w:r>
      <w:r w:rsidRPr="00AE1A0A">
        <w:rPr>
          <w:rFonts w:ascii="Times New Roman" w:eastAsia="Times New Roman" w:hAnsi="Times New Roman" w:cs="Times New Roman"/>
          <w:sz w:val="24"/>
          <w:szCs w:val="24"/>
        </w:rPr>
        <w:t>:</w:t>
      </w:r>
    </w:p>
    <w:bookmarkEnd w:id="6"/>
    <w:p w14:paraId="2512D2D7"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4 (patru)</w:t>
      </w:r>
      <w:r w:rsidRPr="00AE1A0A">
        <w:rPr>
          <w:rFonts w:ascii="Times New Roman" w:eastAsia="Times New Roman" w:hAnsi="Times New Roman" w:cs="Times New Roman"/>
          <w:sz w:val="24"/>
          <w:szCs w:val="24"/>
          <w:lang w:eastAsia="hr-HR"/>
        </w:rPr>
        <w:t xml:space="preserve"> exemplare cu semnături autorizate și ștampile pe suport hârtie; </w:t>
      </w:r>
    </w:p>
    <w:p w14:paraId="5E2F3654"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 cuprinzând</w:t>
      </w:r>
      <w:r w:rsidRPr="00AE1A0A">
        <w:rPr>
          <w:rFonts w:ascii="Times New Roman" w:eastAsia="Times New Roman" w:hAnsi="Times New Roman" w:cs="Times New Roman"/>
          <w:iCs/>
          <w:sz w:val="24"/>
          <w:szCs w:val="24"/>
        </w:rPr>
        <w:t>:</w:t>
      </w:r>
    </w:p>
    <w:p w14:paraId="54442582"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dwg, pdf. - NU SCANAT, docx.</w:t>
      </w:r>
      <w:r w:rsidRPr="00AE1A0A">
        <w:rPr>
          <w:rFonts w:ascii="Times New Roman" w:hAnsi="Times New Roman"/>
          <w:szCs w:val="24"/>
        </w:rPr>
        <w:t xml:space="preserve"> (word), </w:t>
      </w:r>
      <w:r w:rsidRPr="00AE1A0A">
        <w:rPr>
          <w:rFonts w:ascii="Times New Roman" w:eastAsia="Times New Roman" w:hAnsi="Times New Roman" w:cs="Times New Roman"/>
          <w:sz w:val="24"/>
          <w:szCs w:val="24"/>
          <w:lang w:eastAsia="hr-HR"/>
        </w:rPr>
        <w:t xml:space="preserve"> xlsx.</w:t>
      </w:r>
      <w:r w:rsidRPr="00AE1A0A">
        <w:rPr>
          <w:rFonts w:ascii="Times New Roman" w:hAnsi="Times New Roman"/>
          <w:szCs w:val="24"/>
        </w:rPr>
        <w:t xml:space="preserve"> (excel)</w:t>
      </w:r>
      <w:r w:rsidRPr="00AE1A0A">
        <w:rPr>
          <w:rFonts w:ascii="Times New Roman" w:eastAsia="Times New Roman" w:hAnsi="Times New Roman" w:cs="Times New Roman"/>
          <w:sz w:val="24"/>
          <w:szCs w:val="24"/>
          <w:lang w:eastAsia="hr-HR"/>
        </w:rPr>
        <w:t>, după caz;</w:t>
      </w:r>
    </w:p>
    <w:p w14:paraId="555FC2C5"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pdf. SCANAT - cu semnături autorizate și ștampilate, inclusiv de către specialiștii atestați.</w:t>
      </w:r>
    </w:p>
    <w:p w14:paraId="55BFD189"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Pr>
          <w:rFonts w:ascii="Times New Roman" w:hAnsi="Times New Roman"/>
          <w:sz w:val="24"/>
          <w:szCs w:val="24"/>
        </w:rPr>
        <w:t>editabil</w:t>
      </w:r>
      <w:r w:rsidRPr="00AE1A0A">
        <w:rPr>
          <w:rFonts w:ascii="Times New Roman" w:hAnsi="Times New Roman"/>
          <w:sz w:val="24"/>
          <w:szCs w:val="24"/>
        </w:rPr>
        <w:t xml:space="preserve"> și </w:t>
      </w:r>
      <w:r>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3AD66A08" w14:textId="77777777" w:rsidR="009E201F" w:rsidRPr="00AE1A0A" w:rsidRDefault="009E201F" w:rsidP="009E201F">
      <w:pPr>
        <w:pStyle w:val="ListParagraph"/>
        <w:spacing w:before="60" w:after="60" w:line="240" w:lineRule="auto"/>
        <w:ind w:left="993"/>
        <w:jc w:val="both"/>
        <w:rPr>
          <w:rFonts w:ascii="Times New Roman" w:eastAsia="Times New Roman" w:hAnsi="Times New Roman" w:cs="Times New Roman"/>
          <w:sz w:val="24"/>
          <w:szCs w:val="24"/>
          <w:lang w:eastAsia="hr-HR"/>
        </w:rPr>
      </w:pPr>
    </w:p>
    <w:p w14:paraId="4EAE9903"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1B30D558"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rPr>
      </w:pPr>
      <w:r w:rsidRPr="00AE1A0A">
        <w:rPr>
          <w:rFonts w:ascii="Times New Roman" w:hAnsi="Times New Roman"/>
          <w:sz w:val="24"/>
          <w:szCs w:val="24"/>
        </w:rPr>
        <w:t xml:space="preserve">În caz de nerespectare a cerințelor de mai sus </w:t>
      </w:r>
      <w:r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1E5F291D" w14:textId="72BD9384" w:rsidR="009E201F" w:rsidRPr="003755B6"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43B8F32F" w14:textId="77777777" w:rsidR="009E201F" w:rsidRPr="00AE1A0A" w:rsidRDefault="009E201F" w:rsidP="009E201F">
      <w:pPr>
        <w:spacing w:before="60" w:after="60" w:line="240" w:lineRule="auto"/>
        <w:jc w:val="both"/>
        <w:rPr>
          <w:rFonts w:ascii="Times New Roman" w:hAnsi="Times New Roman"/>
          <w:bCs/>
          <w:sz w:val="24"/>
          <w:szCs w:val="24"/>
        </w:rPr>
      </w:pPr>
      <w:r w:rsidRPr="00AE1A0A">
        <w:rPr>
          <w:rFonts w:ascii="Times New Roman" w:hAnsi="Times New Roman"/>
          <w:b/>
          <w:bCs/>
          <w:sz w:val="24"/>
          <w:szCs w:val="24"/>
        </w:rPr>
        <w:lastRenderedPageBreak/>
        <w:t xml:space="preserve">Recepția Rapoartelor de Expertiză Tehnică </w:t>
      </w:r>
      <w:r w:rsidRPr="00AE1A0A">
        <w:rPr>
          <w:rFonts w:ascii="Times New Roman" w:hAnsi="Times New Roman"/>
          <w:bCs/>
          <w:sz w:val="24"/>
          <w:szCs w:val="24"/>
        </w:rPr>
        <w:t xml:space="preserve">va avea loc la sediul Clientului, prin întocmirea și semnarea de procese verbale de recepție cantitativă și calitativă de către comisia de recepție. . </w:t>
      </w:r>
    </w:p>
    <w:p w14:paraId="29562E0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Pr="00AE1A0A">
        <w:rPr>
          <w:rFonts w:ascii="Times New Roman" w:eastAsia="Times New Roman" w:hAnsi="Times New Roman" w:cs="Times New Roman"/>
          <w:sz w:val="24"/>
          <w:szCs w:val="24"/>
        </w:rPr>
        <w:t xml:space="preserve"> </w:t>
      </w:r>
    </w:p>
    <w:p w14:paraId="6A2FFE0E" w14:textId="138B40A9"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p>
    <w:p w14:paraId="4E325E8A"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bookmarkStart w:id="7" w:name="_Toc18491937"/>
    </w:p>
    <w:p w14:paraId="7D61ACD8" w14:textId="77777777" w:rsidR="009E201F" w:rsidRPr="00AE1A0A" w:rsidRDefault="009E201F" w:rsidP="003755B6">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850" w:hanging="357"/>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INSTITUȚII IMPLICATE </w:t>
      </w:r>
    </w:p>
    <w:bookmarkEnd w:id="7"/>
    <w:p w14:paraId="189DC618"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 în derularea Contractului:</w:t>
      </w:r>
    </w:p>
    <w:p w14:paraId="77C5564A"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Agenție de implementare a Proiectului și în calitate de Client conform prevederilor contractului;</w:t>
      </w:r>
    </w:p>
    <w:p w14:paraId="688C5156"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Unitatea de Implementare a Proiectului (UIP)</w:t>
      </w:r>
      <w:r w:rsidRPr="00AE1A0A">
        <w:rPr>
          <w:rFonts w:ascii="Times New Roman" w:eastAsia="Times New Roman" w:hAnsi="Times New Roman" w:cs="Times New Roman"/>
          <w:sz w:val="24"/>
          <w:szCs w:val="24"/>
        </w:rPr>
        <w:t xml:space="preserve"> din cadrul IGSU în calitate de responsabil pentru implementarea Proiectului.</w:t>
      </w:r>
    </w:p>
    <w:p w14:paraId="6A194534"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Inspectoratele Județene pentru Situații de Urgență din județele menționate în secțiunea A, capitolul 3, în subordinea cărora se află clădirile care fac obiectul serviciilor. </w:t>
      </w:r>
    </w:p>
    <w:p w14:paraId="6680CA7C"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intra în contact și va comunica (după caz) cu:</w:t>
      </w:r>
    </w:p>
    <w:p w14:paraId="75E4D4C7"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Unitatea de Implementare a Proiectului (UIP);</w:t>
      </w:r>
    </w:p>
    <w:p w14:paraId="66C3DF69"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reprezentant al Clientului (IGSU)</w:t>
      </w:r>
      <w:r w:rsidRPr="00AE1A0A">
        <w:rPr>
          <w:rFonts w:ascii="Times New Roman" w:eastAsia="Times New Roman" w:hAnsi="Times New Roman" w:cs="Times New Roman"/>
          <w:iCs/>
          <w:sz w:val="24"/>
          <w:szCs w:val="24"/>
        </w:rPr>
        <w:t xml:space="preserve">; </w:t>
      </w:r>
    </w:p>
    <w:p w14:paraId="6175B251" w14:textId="502B5237" w:rsidR="009E201F" w:rsidRPr="003755B6" w:rsidRDefault="009E201F" w:rsidP="003755B6">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 xml:space="preserve">Oricare alte organizații/instituții din România </w:t>
      </w:r>
      <w:r w:rsidRPr="00AE1A0A">
        <w:rPr>
          <w:rFonts w:ascii="Times New Roman" w:eastAsia="Times New Roman" w:hAnsi="Times New Roman" w:cs="Times New Roman"/>
          <w:sz w:val="24"/>
          <w:szCs w:val="24"/>
        </w:rPr>
        <w:t>care, în conformitate cu legislația în vigoare, sunt implicate și autorizate în furnizarea datelor necesare întocmirii Rapoartelor de expertiză tehnică.</w:t>
      </w:r>
    </w:p>
    <w:p w14:paraId="7B46BFFD" w14:textId="77777777" w:rsidR="009E201F" w:rsidRPr="00AE1A0A" w:rsidRDefault="009E201F" w:rsidP="003755B6">
      <w:pPr>
        <w:widowControl w:val="0"/>
        <w:tabs>
          <w:tab w:val="left" w:pos="0"/>
          <w:tab w:val="left" w:pos="142"/>
        </w:tabs>
        <w:autoSpaceDE w:val="0"/>
        <w:autoSpaceDN w:val="0"/>
        <w:adjustRightInd w:val="0"/>
        <w:spacing w:before="60" w:after="12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Pr="00AE1A0A">
        <w:rPr>
          <w:rFonts w:ascii="Times New Roman" w:eastAsia="Times New Roman" w:hAnsi="Times New Roman" w:cs="Times New Roman"/>
          <w:b/>
          <w:iCs/>
          <w:sz w:val="24"/>
          <w:szCs w:val="24"/>
        </w:rPr>
        <w:t>este obligat să înștiințeze și să comunice către UIP - Unitatea de Implementare a Proiectului fiecare discuție tehnică/ședință stabilită cu entitățile prezentate mai sus.</w:t>
      </w:r>
    </w:p>
    <w:p w14:paraId="104B9530"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99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CALIFICĂRILE ȘI EXPERIENȚA CONSULTANTULUI </w:t>
      </w:r>
    </w:p>
    <w:p w14:paraId="3EA702D7" w14:textId="77777777" w:rsidR="009E201F" w:rsidRPr="00AE1A0A" w:rsidRDefault="009E201F" w:rsidP="009E201F">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Consultantul va fi o firmă sau asociere eligibilă, cu sau fără un sub-consultant, cu experiența și resursele necesare pentru executarea serviciilor descrise în prezenții Termeni de Referință.</w:t>
      </w:r>
    </w:p>
    <w:p w14:paraId="2824D8FC" w14:textId="77777777" w:rsidR="009E201F" w:rsidRPr="00AE1A0A" w:rsidRDefault="009E201F" w:rsidP="003755B6">
      <w:pPr>
        <w:shd w:val="clear" w:color="auto" w:fill="FFFFFF"/>
        <w:spacing w:after="0" w:line="240" w:lineRule="auto"/>
        <w:rPr>
          <w:rFonts w:ascii="Times New Roman" w:eastAsia="Times New Roman" w:hAnsi="Times New Roman" w:cs="Times New Roman"/>
          <w:sz w:val="24"/>
          <w:szCs w:val="24"/>
        </w:rPr>
      </w:pPr>
      <w:bookmarkStart w:id="8" w:name="_Hlk29829222"/>
      <w:r w:rsidRPr="00AE1A0A">
        <w:rPr>
          <w:rFonts w:ascii="Times New Roman" w:eastAsia="Times New Roman" w:hAnsi="Times New Roman" w:cs="Times New Roman"/>
          <w:sz w:val="24"/>
          <w:szCs w:val="24"/>
        </w:rPr>
        <w:t>Consultantul trebuie să demonstreze:</w:t>
      </w:r>
    </w:p>
    <w:p w14:paraId="28A4FE16"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Pr>
          <w:rFonts w:ascii="Helvetica" w:hAnsi="Helvetica"/>
          <w:color w:val="333333"/>
          <w:sz w:val="21"/>
          <w:szCs w:val="21"/>
          <w:shd w:val="clear" w:color="auto" w:fill="F5F5F5"/>
        </w:rPr>
        <w:t>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p>
    <w:p w14:paraId="5CB450DB"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w:t>
      </w:r>
      <w:r>
        <w:rPr>
          <w:rFonts w:ascii="Times New Roman" w:hAnsi="Times New Roman" w:cs="Times New Roman"/>
          <w:bCs/>
          <w:sz w:val="24"/>
          <w:szCs w:val="24"/>
        </w:rPr>
        <w:t>.</w:t>
      </w:r>
    </w:p>
    <w:p w14:paraId="0C8ECA9D" w14:textId="4159E181"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Pr>
          <w:rFonts w:ascii="Times New Roman" w:hAnsi="Times New Roman"/>
          <w:bCs/>
          <w:sz w:val="24"/>
          <w:szCs w:val="24"/>
        </w:rPr>
        <w:t>5</w:t>
      </w:r>
      <w:r w:rsidRPr="004801A0">
        <w:rPr>
          <w:rFonts w:ascii="Times New Roman" w:hAnsi="Times New Roman"/>
          <w:bCs/>
          <w:sz w:val="24"/>
          <w:szCs w:val="24"/>
        </w:rPr>
        <w:t xml:space="preserve"> contracte </w:t>
      </w:r>
      <w:r w:rsidRPr="00AE1A0A">
        <w:rPr>
          <w:rFonts w:ascii="Times New Roman" w:hAnsi="Times New Roman"/>
          <w:bCs/>
          <w:sz w:val="24"/>
          <w:szCs w:val="24"/>
        </w:rPr>
        <w:t xml:space="preserve">finalizate cu succes în ultimii 5 ani </w:t>
      </w:r>
      <w:r w:rsidRPr="004801A0">
        <w:rPr>
          <w:rFonts w:ascii="Times New Roman" w:hAnsi="Times New Roman"/>
          <w:bCs/>
          <w:sz w:val="24"/>
          <w:szCs w:val="24"/>
        </w:rPr>
        <w:t xml:space="preserve">privind efectuarea </w:t>
      </w:r>
      <w:r w:rsidRPr="00AE1A0A">
        <w:rPr>
          <w:rFonts w:ascii="Times New Roman" w:hAnsi="Times New Roman"/>
          <w:bCs/>
          <w:sz w:val="24"/>
          <w:szCs w:val="24"/>
        </w:rPr>
        <w:t xml:space="preserve">de </w:t>
      </w:r>
      <w:r w:rsidRPr="004801A0">
        <w:rPr>
          <w:rFonts w:ascii="Times New Roman" w:hAnsi="Times New Roman"/>
          <w:bCs/>
          <w:sz w:val="24"/>
          <w:szCs w:val="24"/>
        </w:rPr>
        <w:t>expertize tehnice</w:t>
      </w:r>
      <w:r w:rsidRPr="00AE1A0A">
        <w:rPr>
          <w:rFonts w:ascii="Times New Roman" w:hAnsi="Times New Roman"/>
          <w:bCs/>
          <w:sz w:val="24"/>
          <w:szCs w:val="24"/>
        </w:rPr>
        <w:t xml:space="preserve"> în România</w:t>
      </w:r>
      <w:r>
        <w:rPr>
          <w:rFonts w:ascii="Times New Roman" w:hAnsi="Times New Roman"/>
          <w:bCs/>
          <w:sz w:val="24"/>
          <w:szCs w:val="24"/>
        </w:rPr>
        <w:t>. Expertizele tehnice finalizate cu succes în ultimii 5 ani pentru clădiri din clasa de importanță I vor fi considerate un avantaj;</w:t>
      </w:r>
    </w:p>
    <w:p w14:paraId="5CFF8F79" w14:textId="77777777" w:rsidR="009E201F" w:rsidRPr="000348FD"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w:t>
      </w:r>
      <w:r w:rsidRPr="001B3F09">
        <w:rPr>
          <w:rFonts w:ascii="Times New Roman" w:hAnsi="Times New Roman" w:cs="Times New Roman"/>
          <w:bCs/>
          <w:sz w:val="24"/>
          <w:szCs w:val="24"/>
        </w:rPr>
        <w:t>puțin 3 expertize tehnice</w:t>
      </w:r>
      <w:r>
        <w:rPr>
          <w:rFonts w:ascii="Times New Roman" w:hAnsi="Times New Roman" w:cs="Times New Roman"/>
          <w:bCs/>
          <w:sz w:val="24"/>
          <w:szCs w:val="24"/>
        </w:rPr>
        <w:t xml:space="preserv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532FF5C3"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71F42DC0" w14:textId="26E9FA91"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w:t>
      </w:r>
      <w:r w:rsidRPr="001B3F09">
        <w:rPr>
          <w:rFonts w:ascii="Times New Roman" w:hAnsi="Times New Roman" w:cs="Times New Roman"/>
          <w:b/>
          <w:sz w:val="24"/>
          <w:szCs w:val="24"/>
        </w:rPr>
        <w:t>, Expert Tehnic Atestat domeniile A1, A2</w:t>
      </w:r>
      <w:r w:rsidRPr="001B3F09">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una din pozițiile de Expert Tehnic Atestat, dar se va considera un avantaj punerea la dispoziție de către Consultant a unui specialist distinct pentru poziția de Manager Proiect.</w:t>
      </w:r>
    </w:p>
    <w:p w14:paraId="3F8C1EE1"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lastRenderedPageBreak/>
        <w:t xml:space="preserve">În vederea demonstrării îndeplinirii cerințelor de experiență și calificare de mai sus, Consultantul </w:t>
      </w:r>
      <w:r w:rsidRPr="00AE1A0A">
        <w:rPr>
          <w:rFonts w:ascii="Times New Roman" w:hAnsi="Times New Roman"/>
          <w:bCs/>
          <w:sz w:val="24"/>
          <w:szCs w:val="24"/>
        </w:rPr>
        <w:t xml:space="preserve">va furniza: </w:t>
      </w:r>
    </w:p>
    <w:p w14:paraId="6C2E238B" w14:textId="02C908BF" w:rsidR="00DD698A" w:rsidRPr="00DD698A" w:rsidRDefault="00DD698A" w:rsidP="003755B6">
      <w:pPr>
        <w:pStyle w:val="ListParagraph"/>
        <w:numPr>
          <w:ilvl w:val="0"/>
          <w:numId w:val="10"/>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7D896897" w14:textId="2CFFCB7C" w:rsidR="009E201F" w:rsidRPr="00AE1A0A" w:rsidRDefault="009E201F" w:rsidP="003755B6">
      <w:pPr>
        <w:pStyle w:val="ListParagraph"/>
        <w:widowControl w:val="0"/>
        <w:numPr>
          <w:ilvl w:val="0"/>
          <w:numId w:val="10"/>
        </w:numPr>
        <w:autoSpaceDE w:val="0"/>
        <w:autoSpaceDN w:val="0"/>
        <w:adjustRightInd w:val="0"/>
        <w:spacing w:after="8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1B7E544E" w14:textId="77777777" w:rsidR="009E201F" w:rsidRPr="00AE1A0A" w:rsidRDefault="009E201F" w:rsidP="003755B6">
      <w:pPr>
        <w:pStyle w:val="ListParagraph"/>
        <w:widowControl w:val="0"/>
        <w:numPr>
          <w:ilvl w:val="0"/>
          <w:numId w:val="10"/>
        </w:numPr>
        <w:autoSpaceDE w:val="0"/>
        <w:autoSpaceDN w:val="0"/>
        <w:adjustRightInd w:val="0"/>
        <w:spacing w:after="8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5874FA18" w14:textId="77777777" w:rsidR="009E201F" w:rsidRPr="00AE1A0A" w:rsidRDefault="009E201F" w:rsidP="003755B6">
      <w:pPr>
        <w:widowControl w:val="0"/>
        <w:autoSpaceDE w:val="0"/>
        <w:autoSpaceDN w:val="0"/>
        <w:adjustRightInd w:val="0"/>
        <w:spacing w:before="60" w:after="12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 a Experților Tehnici din echipa sa, ori de câte ori este cazul, pentru a oferi o valabilitate continuă a certificării acestora, pe întreaga durată a derulării Contractului</w:t>
      </w:r>
      <w:r>
        <w:rPr>
          <w:rFonts w:ascii="Times New Roman" w:hAnsi="Times New Roman" w:cs="Times New Roman"/>
          <w:bCs/>
          <w:sz w:val="24"/>
          <w:szCs w:val="24"/>
        </w:rPr>
        <w:t>.</w:t>
      </w:r>
    </w:p>
    <w:p w14:paraId="1AAB48AE"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t>Echipa Consultantului va include, cel puțin următorii experți cheie:</w:t>
      </w:r>
    </w:p>
    <w:p w14:paraId="38100C82" w14:textId="77777777" w:rsidR="009E201F" w:rsidRPr="004801A0" w:rsidRDefault="009E201F" w:rsidP="004B5D82">
      <w:pPr>
        <w:spacing w:before="120" w:after="0"/>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Pr>
          <w:rFonts w:ascii="Times New Roman" w:hAnsi="Times New Roman" w:cs="Times New Roman"/>
          <w:b/>
          <w:sz w:val="24"/>
          <w:szCs w:val="24"/>
        </w:rPr>
        <w:t xml:space="preserve"> (poziția poate fi cumulată cu una de expert tehnic atestat)</w:t>
      </w:r>
    </w:p>
    <w:p w14:paraId="5ABCB423" w14:textId="77777777" w:rsidR="009E201F" w:rsidRPr="004801A0" w:rsidRDefault="009E201F" w:rsidP="009E201F">
      <w:pPr>
        <w:pStyle w:val="BodyText2"/>
        <w:spacing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Pr="00AE1A0A">
        <w:rPr>
          <w:rFonts w:ascii="Times New Roman" w:hAnsi="Times New Roman" w:cs="Times New Roman"/>
          <w:sz w:val="24"/>
          <w:szCs w:val="24"/>
        </w:rPr>
        <w:t xml:space="preserve">ponsabil pentru managementul și coordonarea echipei în vederea implementării serviciilor. </w:t>
      </w:r>
    </w:p>
    <w:p w14:paraId="1457858C" w14:textId="77777777" w:rsidR="009E201F" w:rsidRPr="004801A0" w:rsidRDefault="009E201F" w:rsidP="004B5D82">
      <w:pPr>
        <w:pStyle w:val="BodyText2"/>
        <w:spacing w:after="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p>
    <w:p w14:paraId="7CAB15BC"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4A6DD13F"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Pr="00AE1A0A">
        <w:rPr>
          <w:rFonts w:ascii="Times New Roman" w:hAnsi="Times New Roman" w:cs="Times New Roman"/>
          <w:sz w:val="24"/>
          <w:szCs w:val="24"/>
        </w:rPr>
        <w:t>;</w:t>
      </w:r>
    </w:p>
    <w:p w14:paraId="720132C7" w14:textId="77777777" w:rsidR="009E201F" w:rsidRPr="00AE1A0A" w:rsidRDefault="009E201F" w:rsidP="009E201F">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minim 1 proiect în domeniul proiectare/ execuție construcții, similar în volumul de servicii și perioada de desfășurare, în ultimii 3 ani, în România;</w:t>
      </w:r>
    </w:p>
    <w:p w14:paraId="3305F4C7" w14:textId="793E5919"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 xml:space="preserve">EXPERT TEHNIC ATESTAT </w:t>
      </w:r>
    </w:p>
    <w:p w14:paraId="068C532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3F871D32" w14:textId="77777777" w:rsidR="009E201F" w:rsidRPr="00AE1A0A" w:rsidRDefault="009E201F" w:rsidP="003755B6">
      <w:pPr>
        <w:widowControl w:val="0"/>
        <w:autoSpaceDE w:val="0"/>
        <w:autoSpaceDN w:val="0"/>
        <w:adjustRightInd w:val="0"/>
        <w:spacing w:after="8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3D77E460" w14:textId="77777777" w:rsidR="009E201F" w:rsidRPr="00AE1A0A" w:rsidRDefault="009E201F" w:rsidP="003755B6">
      <w:pPr>
        <w:pStyle w:val="BodyText2"/>
        <w:numPr>
          <w:ilvl w:val="0"/>
          <w:numId w:val="31"/>
        </w:numPr>
        <w:overflowPunct w:val="0"/>
        <w:autoSpaceDE w:val="0"/>
        <w:autoSpaceDN w:val="0"/>
        <w:adjustRightInd w:val="0"/>
        <w:spacing w:after="8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de muncă în desfășurarea de activități conform pregătirii și calificării profesionale;</w:t>
      </w:r>
    </w:p>
    <w:p w14:paraId="3B810F37" w14:textId="77777777" w:rsidR="009E201F" w:rsidRPr="00AE1A0A" w:rsidRDefault="009E201F" w:rsidP="003755B6">
      <w:pPr>
        <w:pStyle w:val="BodyText2"/>
        <w:numPr>
          <w:ilvl w:val="0"/>
          <w:numId w:val="31"/>
        </w:numPr>
        <w:overflowPunct w:val="0"/>
        <w:autoSpaceDE w:val="0"/>
        <w:autoSpaceDN w:val="0"/>
        <w:adjustRightInd w:val="0"/>
        <w:spacing w:after="8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Autorizarea de către MDRAP ca expert tehnic pe domeniile A1, A2; se va prezenta certificatul de atestare.</w:t>
      </w:r>
    </w:p>
    <w:p w14:paraId="613190BD" w14:textId="77777777" w:rsidR="009E201F" w:rsidRPr="00AE1A0A" w:rsidRDefault="009E201F" w:rsidP="003755B6">
      <w:pPr>
        <w:pStyle w:val="BodyText2"/>
        <w:numPr>
          <w:ilvl w:val="0"/>
          <w:numId w:val="31"/>
        </w:numPr>
        <w:overflowPunct w:val="0"/>
        <w:autoSpaceDE w:val="0"/>
        <w:autoSpaceDN w:val="0"/>
        <w:adjustRightInd w:val="0"/>
        <w:spacing w:after="8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ca expert tehnic/ verificator proiecte atestat;</w:t>
      </w:r>
    </w:p>
    <w:p w14:paraId="6DA0431E" w14:textId="3CB2E856" w:rsidR="009E201F" w:rsidRDefault="009E201F" w:rsidP="003755B6">
      <w:pPr>
        <w:pStyle w:val="BodyText2"/>
        <w:numPr>
          <w:ilvl w:val="0"/>
          <w:numId w:val="31"/>
        </w:numPr>
        <w:overflowPunct w:val="0"/>
        <w:autoSpaceDE w:val="0"/>
        <w:autoSpaceDN w:val="0"/>
        <w:adjustRightInd w:val="0"/>
        <w:spacing w:after="8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Pentru demonstrarea îndeplinirii acestei cerințe, Expertul Tehnic Atestat va depune o listă cu clădirile expertizate care să menționeze încadrarea în clase de importanță, suprafețe desfășurate și regim de înălțime, listă însoțită de procese verbale de recepție sau orice alte documente care să confirme recepția rapoartelor respective de către beneficiari. </w:t>
      </w:r>
      <w:bookmarkEnd w:id="8"/>
    </w:p>
    <w:p w14:paraId="45B7DEB1"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LOCAȚIA DE DESFĂȘURARE A SERVICIILOR; DATE CARE VOR FI FURNIZATE DE CĂTRE CLIENT</w:t>
      </w:r>
    </w:p>
    <w:p w14:paraId="6C26044E"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lucra în principal de la sediul său. Clientul va pune la dispoziție, la sediul său, spațiile necesare pentru organizarea întâlnirilor de lucru din perioada de prestare a serviciilor.</w:t>
      </w:r>
    </w:p>
    <w:p w14:paraId="098005D2" w14:textId="77777777" w:rsidR="009E201F" w:rsidRPr="00AE1A0A" w:rsidRDefault="009E201F" w:rsidP="009E201F">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p>
    <w:p w14:paraId="3E9E67ED" w14:textId="6355DAD4" w:rsidR="009E201F" w:rsidRPr="004B5D82" w:rsidRDefault="009E201F" w:rsidP="004B5D82">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Extras de Carte Funciară</w:t>
      </w:r>
    </w:p>
    <w:p w14:paraId="5E05B90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A – </w:t>
      </w:r>
      <w:bookmarkStart w:id="9" w:name="do|ax4|alA|pt5|sp5.4.|lia"/>
      <w:bookmarkEnd w:id="9"/>
      <w:r w:rsidRPr="00AE1A0A">
        <w:rPr>
          <w:rFonts w:ascii="Times New Roman" w:eastAsia="Times New Roman" w:hAnsi="Times New Roman" w:cs="Times New Roman"/>
          <w:b/>
          <w:bCs/>
          <w:sz w:val="24"/>
          <w:szCs w:val="24"/>
        </w:rPr>
        <w:t>LEGISLAȚIE APLICABILĂ ÎN VIGOARE</w:t>
      </w:r>
    </w:p>
    <w:p w14:paraId="1C990C47" w14:textId="77777777" w:rsidR="009E201F" w:rsidRPr="00AE1A0A" w:rsidRDefault="009E201F" w:rsidP="009E201F">
      <w:pPr>
        <w:spacing w:before="60" w:after="60" w:line="240" w:lineRule="auto"/>
        <w:outlineLvl w:val="0"/>
        <w:rPr>
          <w:rFonts w:ascii="Times New Roman" w:eastAsia="Times New Roman" w:hAnsi="Times New Roman" w:cs="Times New Roman"/>
          <w:sz w:val="24"/>
          <w:szCs w:val="24"/>
        </w:rPr>
      </w:pPr>
    </w:p>
    <w:p w14:paraId="3678D07E"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 națională în vigoare:</w:t>
      </w:r>
    </w:p>
    <w:p w14:paraId="53E33D4D"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FB39068"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6B7D307"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452786F0"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18708566"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2FBA563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cap.4 - Urmărirea specială a comportării construcțiilor;</w:t>
      </w:r>
    </w:p>
    <w:p w14:paraId="1A8A9D14"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52B8CFF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 fără a se limita la acestea și normele specifice (normele specifice pot fi găsite la adresa: https://www.igsu.ro/InformatiiGenerale/Legislatie);</w:t>
      </w:r>
    </w:p>
    <w:p w14:paraId="170F56C8"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p>
    <w:p w14:paraId="4280E988"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 privind îmbunătățirea managementului riscurilor în caz de dezastre:</w:t>
      </w:r>
    </w:p>
    <w:p w14:paraId="668BED0E"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1122C72"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Management de Mediu și Social pentru Proiectul privind Gestionarea Riscurilor la Dezastre: </w:t>
      </w:r>
      <w:r w:rsidRPr="00AE1A0A">
        <w:rPr>
          <w:rStyle w:val="Hyperlink"/>
          <w:color w:val="auto"/>
          <w:lang w:val="en-US"/>
        </w:rPr>
        <w:t>https://old.igsu.ro/biblioteca/legislatie/Transparenta%20decizionala/ESMF%20-DRMP_RO_final.pdf;</w:t>
      </w:r>
      <w:r w:rsidRPr="00AE1A0A">
        <w:rPr>
          <w:rFonts w:ascii="Times New Roman" w:eastAsia="Times New Roman" w:hAnsi="Times New Roman" w:cs="Times New Roman"/>
          <w:sz w:val="24"/>
          <w:szCs w:val="24"/>
        </w:rPr>
        <w:br w:type="page"/>
      </w:r>
    </w:p>
    <w:p w14:paraId="513FDCA4"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10" w:name="_Hlk44576763"/>
      <w:bookmarkStart w:id="11" w:name="_Hlk43207897"/>
      <w:r w:rsidRPr="00AE1A0A">
        <w:rPr>
          <w:b/>
          <w:bCs/>
        </w:rPr>
        <w:t xml:space="preserve"> </w:t>
      </w:r>
      <w:r w:rsidRPr="00AE1A0A">
        <w:rPr>
          <w:rFonts w:ascii="Times New Roman" w:eastAsia="Times New Roman" w:hAnsi="Times New Roman" w:cs="Times New Roman"/>
          <w:b/>
          <w:bCs/>
          <w:sz w:val="24"/>
          <w:szCs w:val="24"/>
        </w:rPr>
        <w:t xml:space="preserve">CERINȚE </w:t>
      </w:r>
      <w:r>
        <w:rPr>
          <w:rFonts w:ascii="Times New Roman" w:eastAsia="Times New Roman" w:hAnsi="Times New Roman" w:cs="Times New Roman"/>
          <w:b/>
          <w:bCs/>
          <w:sz w:val="24"/>
          <w:szCs w:val="24"/>
        </w:rPr>
        <w:t>SPECIFICE</w:t>
      </w:r>
      <w:r w:rsidRPr="00AE1A0A">
        <w:rPr>
          <w:rFonts w:ascii="Times New Roman" w:eastAsia="Times New Roman" w:hAnsi="Times New Roman" w:cs="Times New Roman"/>
          <w:b/>
          <w:bCs/>
          <w:sz w:val="24"/>
          <w:szCs w:val="24"/>
        </w:rPr>
        <w:t xml:space="preserve"> PENTRU DEZVOLTAREA UNUI RAPORT DE EVALUARE SEISMICĂ / RAPORT DE EXPERTIZĂ TEHNICĂ</w:t>
      </w:r>
    </w:p>
    <w:bookmarkEnd w:id="10"/>
    <w:p w14:paraId="1A00678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1C8F973B"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4BA98454" w14:textId="77777777" w:rsidR="009E201F" w:rsidRPr="00AE1A0A" w:rsidRDefault="009E201F" w:rsidP="009E201F">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414678C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4795856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4E2C7379"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A56D0B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F9285BB"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2"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Pr="00AE1A0A">
        <w:rPr>
          <w:rFonts w:ascii="Times New Roman" w:eastAsia="Times New Roman" w:hAnsi="Times New Roman" w:cs="Times New Roman"/>
          <w:bCs/>
          <w:sz w:val="24"/>
          <w:szCs w:val="24"/>
        </w:rPr>
        <w:t>și condiții seismice</w:t>
      </w:r>
      <w:bookmarkEnd w:id="12"/>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construcțiile existente amplasate in zone inundabile.</w:t>
      </w:r>
    </w:p>
    <w:p w14:paraId="03210AB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25A4AF4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existente. Se întocmește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 Acest releveu poate fi completat cu informații obținute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39E5E5E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și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și prindere a componentelor nestructurale prin comparație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s-a realizat inițial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43B0CF7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legislația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și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ntocmirii expertizei, studii științifice, etc. ;</w:t>
      </w:r>
    </w:p>
    <w:p w14:paraId="7113E33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În funcție de natura informațiilor colectate și în funcție de tipul clădiri se alege metodologia de evaluare;</w:t>
      </w:r>
    </w:p>
    <w:p w14:paraId="22FFBC4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nivelul de cunoaștere atins, în acord cu natura și volumul informațiilor colectate;</w:t>
      </w:r>
    </w:p>
    <w:p w14:paraId="47E68B7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ndeplinire a condițiilor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prin examinarea tuturor condițiilor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și D, (cu referire la structuri din beton, oțel și zidărie) </w:t>
      </w:r>
      <w:bookmarkStart w:id="13" w:name="_Hlk36712237"/>
      <w:r w:rsidRPr="00AE1A0A">
        <w:rPr>
          <w:rFonts w:ascii="Times New Roman" w:eastAsia="Times New Roman" w:hAnsi="Times New Roman" w:cs="Times New Roman"/>
          <w:bCs/>
          <w:sz w:val="24"/>
          <w:szCs w:val="24"/>
        </w:rPr>
        <w:t xml:space="preserve">din P100-3/2019,  </w:t>
      </w:r>
      <w:bookmarkEnd w:id="13"/>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728048D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prin analiza stării de avariere a clădirilor în raport cu condițiile prevăzute în anexele normative B, C și D, (cu referire la structuri din beton, oțel și zidărie) din P100-3/2019,  privitoare la clădirile realizate din diferite materiale;</w:t>
      </w:r>
    </w:p>
    <w:p w14:paraId="3E7825D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În acord cu prevederile codului se stabilesc: modelul de calcul cel mai potrivit, parametrii care definesc proprietățile mecanice ale materialelor de construcție, acțiunile asupra clădirilor, regulile de combinare ale acțiunilor. Se prezintă rezultatele calculului structural în termeni de deformații sau eforturi, după caz;</w:t>
      </w:r>
    </w:p>
    <w:p w14:paraId="224FB38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funcție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și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ținând seama și de condițiile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și de relevanța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66A7B58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vulnerabilitatea componentelor nestructurale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și,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construcțiilor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clasa de risc seismic atunci </w:t>
      </w:r>
      <w:r w:rsidRPr="00AE1A0A">
        <w:rPr>
          <w:rFonts w:ascii="Times New Roman" w:eastAsia="Times New Roman" w:hAnsi="Times New Roman" w:cs="Times New Roman"/>
          <w:bCs/>
          <w:sz w:val="24"/>
          <w:szCs w:val="24"/>
        </w:rPr>
        <w:lastRenderedPageBreak/>
        <w:t>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și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pericol siguranța vieții utilizatorilor;</w:t>
      </w:r>
    </w:p>
    <w:p w14:paraId="4AED158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structurii și al componentelor nestructurale;</w:t>
      </w:r>
    </w:p>
    <w:p w14:paraId="045FA91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funcție de scopul expertizei, natura și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surilor de intervenție;</w:t>
      </w:r>
    </w:p>
    <w:p w14:paraId="64E5E6E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2D77A04"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F70C65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fișa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2475DE1C" w14:textId="77777777" w:rsidR="009E201F" w:rsidRPr="00AE1A0A" w:rsidRDefault="009E201F" w:rsidP="009E201F">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58D69E3B" w14:textId="77777777" w:rsidR="009E201F" w:rsidRPr="00AE1A0A" w:rsidRDefault="009E201F" w:rsidP="009E201F">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3C8110E7"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3E725518"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43375821"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3D3CBEBC"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5E6DF67B"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Propunerea măsurilor de intervenție necesare și recomandarea unor soluții pentru proiectare care să garanteze gradul de asigurare la acțiuni seismice;</w:t>
      </w:r>
    </w:p>
    <w:p w14:paraId="3B95B1C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78D160F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Alte eventuale constatări, măsurători, verificări, încercări, sondaje, concluzii și recomandări prevăzute în toate actele normative, prescripții tehnice, normativele și standarde românești în domeniu sau a eurocodurilor pentru construcții, în vigoare, pe care expertul tehnic le consideră relevante pentru evaluarea construcției și a instalațiilor aferente.</w:t>
      </w:r>
    </w:p>
    <w:p w14:paraId="138145B0"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Descrierea stării construcției la momentul evaluării, cu referiri la comportarea acesteia la eventuale cutremure pe care le-a suportat și identificarea efectelor acestora asupra clădirii. Se vor evidenția, dacă este cazul, degradările produse şi de alte acțiuni (climatice, tasări diferențiale etc.);</w:t>
      </w:r>
    </w:p>
    <w:p w14:paraId="615B2AB5"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releveului complet al clădirii, din care să reiasă dimensiunile interioare și exterioare ale clădirii și ale tuturor elementelor de construcție exterioară, suprafețele (construită, desfășurată, utilă), compoziția tuturor elementelor de construcție (material, grosime), planuri de nivel, secțiuni caracteristice etc.;</w:t>
      </w:r>
    </w:p>
    <w:p w14:paraId="01823D52"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rezistențelor pe baza cărora se fac verificările, pe baza nivelului de cunoaștere dobândit în urma investigațiilor (prin aplicarea factorilor de încredere CF);</w:t>
      </w:r>
    </w:p>
    <w:p w14:paraId="7C7724EA"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 xml:space="preserve">Alegerea </w:t>
      </w:r>
      <w:r w:rsidRPr="007421D2">
        <w:rPr>
          <w:rFonts w:ascii="Times New Roman" w:hAnsi="Times New Roman"/>
          <w:sz w:val="24"/>
          <w:szCs w:val="24"/>
        </w:rPr>
        <w:t>metodologia (sau a mai multe metodologii) de evaluare și a metodelor de calcul specifice acestora.</w:t>
      </w:r>
    </w:p>
    <w:p w14:paraId="01D012B5"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266A65C6" w14:textId="77777777" w:rsidR="009E201F" w:rsidRPr="000776E2" w:rsidRDefault="009E201F" w:rsidP="009E201F">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5ACF235D"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578C8DBC"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626552A"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479E0D5D"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15739236"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0DBCEAE7"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după efectuarea acestora, clădirea trebuie să se încadreze în clasa de risc seismic conform norme specifice</w:t>
      </w:r>
    </w:p>
    <w:p w14:paraId="238C45C2"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575CF2E6"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23DF5013"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490FBFAB"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7C38E9FF"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11"/>
    <w:p w14:paraId="2E75C48A"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C - CERINȚE DE ASIGURARE A CALITĂȚII</w:t>
      </w:r>
    </w:p>
    <w:p w14:paraId="7701A0FF" w14:textId="77777777" w:rsidR="009E201F" w:rsidRPr="00AE1A0A" w:rsidRDefault="009E201F" w:rsidP="009E201F">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48A3FB0"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16BA0FE4"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 trebuie să respecte următoarele cerințe, pentru a asigura îndeplinirea nivelurilor de asigurare a calității, așa cum sunt stipulate în prevederile Legii nr. 10/1995:</w:t>
      </w:r>
    </w:p>
    <w:p w14:paraId="7B006635"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595DEAED"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30A60B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face, pe baza unei metodologii legiferate, încadrarea construcțiilor în clase de risc seismic și va propune soluții de intervenție prin consolidare/demolare și reconstruire; </w:t>
      </w:r>
    </w:p>
    <w:p w14:paraId="402C0A9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Rapoartele de expertiză tehnică vor prezenta nivelul de calitate corespunzător cerințelor fundamentale, cu respectarea reglementărilor tehnice și a clauzelor contractuale;</w:t>
      </w:r>
    </w:p>
    <w:p w14:paraId="749E3338"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741FD451"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042113B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03FD7FA4"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2F16603D" w14:textId="77777777" w:rsidR="009E201F" w:rsidRPr="00AE1A0A" w:rsidRDefault="009E201F" w:rsidP="009E201F">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4" w:name="_Hlk40881913"/>
      <w:bookmarkStart w:id="15" w:name="_Hlk29829478"/>
      <w:r w:rsidRPr="00AE1A0A">
        <w:rPr>
          <w:rFonts w:ascii="Times New Roman" w:eastAsia="Times New Roman" w:hAnsi="Times New Roman" w:cs="Times New Roman"/>
          <w:b/>
          <w:sz w:val="24"/>
          <w:szCs w:val="24"/>
        </w:rPr>
        <w:t>***</w:t>
      </w:r>
    </w:p>
    <w:bookmarkEnd w:id="14"/>
    <w:p w14:paraId="0876DDB4"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323F83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Pr>
          <w:rFonts w:ascii="Times New Roman" w:eastAsia="Times New Roman" w:hAnsi="Times New Roman" w:cs="Times New Roman"/>
          <w:b/>
          <w:sz w:val="24"/>
          <w:szCs w:val="24"/>
        </w:rPr>
        <w:t xml:space="preserve">reprezintă cerințe minime obligatorii, cu excepția prevederilor legale în vigoare care prevalează. </w:t>
      </w:r>
      <w:bookmarkEnd w:id="15"/>
    </w:p>
    <w:p w14:paraId="4ABE50CA"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5"/>
      </w:tblGrid>
      <w:tr w:rsidR="009E201F" w:rsidRPr="00AE1A0A" w14:paraId="7D7BB5A0" w14:textId="77777777" w:rsidTr="0087125E">
        <w:tc>
          <w:tcPr>
            <w:tcW w:w="4956" w:type="dxa"/>
          </w:tcPr>
          <w:p w14:paraId="022E2F3A"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VERIFICAT,</w:t>
            </w:r>
          </w:p>
        </w:tc>
        <w:tc>
          <w:tcPr>
            <w:tcW w:w="4955" w:type="dxa"/>
          </w:tcPr>
          <w:p w14:paraId="40D66F61"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rPr>
              <w:t>ÎNTOCMIT,</w:t>
            </w:r>
          </w:p>
        </w:tc>
      </w:tr>
      <w:tr w:rsidR="009E201F" w:rsidRPr="00AE1A0A" w14:paraId="1CFD6515" w14:textId="77777777" w:rsidTr="0087125E">
        <w:tc>
          <w:tcPr>
            <w:tcW w:w="4956" w:type="dxa"/>
          </w:tcPr>
          <w:p w14:paraId="0DF3C6B8"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MANAGER TEHNIC PROIECT</w:t>
            </w:r>
          </w:p>
        </w:tc>
        <w:tc>
          <w:tcPr>
            <w:tcW w:w="4955" w:type="dxa"/>
          </w:tcPr>
          <w:p w14:paraId="5C1B439A" w14:textId="77777777" w:rsidR="009E201F" w:rsidRPr="00AE1A0A" w:rsidRDefault="009E201F" w:rsidP="0087125E">
            <w:pPr>
              <w:pStyle w:val="ListParagraph"/>
              <w:spacing w:before="60" w:after="60"/>
              <w:ind w:left="0"/>
              <w:contextualSpacing w:val="0"/>
              <w:jc w:val="center"/>
              <w:rPr>
                <w:rFonts w:ascii="Times New Roman" w:eastAsia="Times New Roman" w:hAnsi="Times New Roman" w:cs="Times New Roman"/>
                <w:b/>
                <w:bCs/>
                <w:sz w:val="24"/>
                <w:szCs w:val="24"/>
              </w:rPr>
            </w:pPr>
          </w:p>
        </w:tc>
      </w:tr>
      <w:tr w:rsidR="00716DFD" w:rsidRPr="00AE1A0A" w14:paraId="7002A2EA" w14:textId="77777777" w:rsidTr="0087125E">
        <w:tc>
          <w:tcPr>
            <w:tcW w:w="4956" w:type="dxa"/>
          </w:tcPr>
          <w:p w14:paraId="401B8CF4" w14:textId="77777777"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i/>
                <w:iCs/>
                <w:sz w:val="24"/>
                <w:szCs w:val="24"/>
              </w:rPr>
            </w:pPr>
            <w:r w:rsidRPr="00AE1A0A">
              <w:rPr>
                <w:rFonts w:ascii="Times New Roman" w:eastAsia="Times New Roman" w:hAnsi="Times New Roman" w:cs="Times New Roman"/>
                <w:b/>
                <w:bCs/>
                <w:i/>
                <w:iCs/>
                <w:sz w:val="24"/>
                <w:szCs w:val="24"/>
              </w:rPr>
              <w:t>Maior</w:t>
            </w:r>
          </w:p>
        </w:tc>
        <w:tc>
          <w:tcPr>
            <w:tcW w:w="4955" w:type="dxa"/>
          </w:tcPr>
          <w:p w14:paraId="7BFB3A90" w14:textId="34D68095" w:rsidR="00716DFD" w:rsidRPr="00AE1A0A" w:rsidRDefault="00716DFD" w:rsidP="00716DFD">
            <w:pPr>
              <w:pStyle w:val="ListParagraph"/>
              <w:spacing w:before="60" w:after="60"/>
              <w:ind w:left="0"/>
              <w:contextualSpacing w:val="0"/>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P.C.</w:t>
            </w:r>
          </w:p>
        </w:tc>
      </w:tr>
      <w:tr w:rsidR="00716DFD" w:rsidRPr="00AE1A0A" w14:paraId="5717DC35" w14:textId="77777777" w:rsidTr="0087125E">
        <w:tc>
          <w:tcPr>
            <w:tcW w:w="4956" w:type="dxa"/>
          </w:tcPr>
          <w:p w14:paraId="3030EDE9" w14:textId="77777777" w:rsidR="00716DFD" w:rsidRPr="00AE1A0A" w:rsidRDefault="00716DFD" w:rsidP="00716DFD">
            <w:pPr>
              <w:pStyle w:val="ListParagraph"/>
              <w:spacing w:before="60" w:after="60"/>
              <w:ind w:left="0"/>
              <w:contextualSpacing w:val="0"/>
              <w:rPr>
                <w:rFonts w:ascii="Times New Roman" w:eastAsia="Times New Roman" w:hAnsi="Times New Roman" w:cs="Times New Roman"/>
                <w:sz w:val="24"/>
                <w:szCs w:val="24"/>
              </w:rPr>
            </w:pPr>
          </w:p>
        </w:tc>
        <w:tc>
          <w:tcPr>
            <w:tcW w:w="4955" w:type="dxa"/>
          </w:tcPr>
          <w:p w14:paraId="6023C3B5" w14:textId="4934A8CC"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Adrian </w:t>
            </w:r>
            <w:r w:rsidRPr="009F42AC">
              <w:rPr>
                <w:rFonts w:ascii="Times New Roman" w:eastAsia="Times New Roman" w:hAnsi="Times New Roman" w:cs="Times New Roman"/>
                <w:b/>
                <w:bCs/>
                <w:sz w:val="24"/>
                <w:szCs w:val="24"/>
              </w:rPr>
              <w:t>MARINESCU</w:t>
            </w:r>
          </w:p>
        </w:tc>
      </w:tr>
      <w:tr w:rsidR="00716DFD" w:rsidRPr="00AE1A0A" w14:paraId="31179E00" w14:textId="77777777" w:rsidTr="0087125E">
        <w:tc>
          <w:tcPr>
            <w:tcW w:w="4956" w:type="dxa"/>
          </w:tcPr>
          <w:p w14:paraId="4967B4D8" w14:textId="615D2426"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Petre</w:t>
            </w:r>
            <w:r>
              <w:rPr>
                <w:rFonts w:ascii="Times New Roman" w:eastAsia="Times New Roman" w:hAnsi="Times New Roman" w:cs="Times New Roman"/>
                <w:b/>
                <w:bCs/>
                <w:sz w:val="24"/>
                <w:szCs w:val="24"/>
              </w:rPr>
              <w:t xml:space="preserve"> </w:t>
            </w:r>
            <w:r w:rsidRPr="009F42AC">
              <w:rPr>
                <w:rFonts w:ascii="Times New Roman" w:eastAsia="Times New Roman" w:hAnsi="Times New Roman" w:cs="Times New Roman"/>
                <w:b/>
                <w:bCs/>
                <w:sz w:val="24"/>
                <w:szCs w:val="24"/>
              </w:rPr>
              <w:t>HUREZANU</w:t>
            </w:r>
          </w:p>
        </w:tc>
        <w:tc>
          <w:tcPr>
            <w:tcW w:w="4955" w:type="dxa"/>
          </w:tcPr>
          <w:p w14:paraId="2A91A946" w14:textId="6315C56B" w:rsidR="00716DFD" w:rsidRPr="00AE1A0A" w:rsidRDefault="00716DFD" w:rsidP="00716DFD">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p>
        </w:tc>
      </w:tr>
      <w:tr w:rsidR="00716DFD" w:rsidRPr="00AE1A0A" w14:paraId="0B2A3F1C" w14:textId="77777777" w:rsidTr="0087125E">
        <w:tc>
          <w:tcPr>
            <w:tcW w:w="4956" w:type="dxa"/>
          </w:tcPr>
          <w:p w14:paraId="721528FC" w14:textId="77777777"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4955" w:type="dxa"/>
          </w:tcPr>
          <w:p w14:paraId="30D23439" w14:textId="043C8376" w:rsidR="00716DFD" w:rsidRPr="00AE1A0A" w:rsidRDefault="00716DFD" w:rsidP="00716DFD">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P.C.</w:t>
            </w:r>
          </w:p>
        </w:tc>
      </w:tr>
      <w:tr w:rsidR="00716DFD" w:rsidRPr="00AE1A0A" w14:paraId="52828CDC" w14:textId="77777777" w:rsidTr="0087125E">
        <w:tc>
          <w:tcPr>
            <w:tcW w:w="4956" w:type="dxa"/>
          </w:tcPr>
          <w:p w14:paraId="6EC3C4D3" w14:textId="77777777"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4955" w:type="dxa"/>
          </w:tcPr>
          <w:p w14:paraId="6762C092" w14:textId="208C082E" w:rsidR="00716DFD" w:rsidRPr="00AE1A0A" w:rsidRDefault="00716DFD" w:rsidP="00716DFD">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Marius VASILE</w:t>
            </w:r>
          </w:p>
        </w:tc>
      </w:tr>
      <w:tr w:rsidR="00716DFD" w:rsidRPr="00AE1A0A" w14:paraId="4DB79ABC" w14:textId="77777777" w:rsidTr="0087125E">
        <w:tc>
          <w:tcPr>
            <w:tcW w:w="4956" w:type="dxa"/>
          </w:tcPr>
          <w:p w14:paraId="7562BC5E" w14:textId="77777777" w:rsidR="00716DFD" w:rsidRPr="00AE1A0A" w:rsidRDefault="00716DFD" w:rsidP="00716DFD">
            <w:pPr>
              <w:pStyle w:val="ListParagraph"/>
              <w:spacing w:before="60" w:after="60"/>
              <w:ind w:left="0"/>
              <w:contextualSpacing w:val="0"/>
              <w:jc w:val="center"/>
              <w:rPr>
                <w:rFonts w:ascii="Times New Roman" w:eastAsia="Times New Roman" w:hAnsi="Times New Roman" w:cs="Times New Roman"/>
                <w:b/>
                <w:bCs/>
                <w:sz w:val="24"/>
                <w:szCs w:val="24"/>
              </w:rPr>
            </w:pPr>
          </w:p>
        </w:tc>
        <w:tc>
          <w:tcPr>
            <w:tcW w:w="4955" w:type="dxa"/>
          </w:tcPr>
          <w:p w14:paraId="67E16A4B" w14:textId="17F17C56" w:rsidR="00716DFD" w:rsidRPr="00AE1A0A" w:rsidRDefault="00716DFD" w:rsidP="00716DFD">
            <w:pPr>
              <w:pStyle w:val="ListParagraph"/>
              <w:tabs>
                <w:tab w:val="left" w:pos="1290"/>
              </w:tabs>
              <w:spacing w:before="60" w:after="60"/>
              <w:ind w:left="0"/>
              <w:contextualSpacing w:val="0"/>
              <w:jc w:val="center"/>
              <w:rPr>
                <w:rFonts w:ascii="Times New Roman" w:eastAsia="Times New Roman" w:hAnsi="Times New Roman" w:cs="Times New Roman"/>
                <w:b/>
                <w:bCs/>
                <w:sz w:val="24"/>
                <w:szCs w:val="24"/>
              </w:rPr>
            </w:pPr>
          </w:p>
        </w:tc>
      </w:tr>
    </w:tbl>
    <w:p w14:paraId="5BC677AB" w14:textId="0EF4C020" w:rsidR="00A16C1A" w:rsidRPr="004542D3" w:rsidRDefault="00A16C1A" w:rsidP="004542D3">
      <w:pPr>
        <w:shd w:val="clear" w:color="auto" w:fill="FFFFFF"/>
        <w:spacing w:after="120" w:line="240" w:lineRule="auto"/>
        <w:jc w:val="both"/>
        <w:rPr>
          <w:rFonts w:ascii="Times New Roman" w:hAnsi="Times New Roman" w:cs="Times New Roman"/>
          <w:iCs/>
          <w:sz w:val="24"/>
          <w:szCs w:val="24"/>
        </w:rPr>
      </w:pPr>
    </w:p>
    <w:sectPr w:rsidR="00A16C1A" w:rsidRPr="004542D3" w:rsidSect="00A0656C">
      <w:footerReference w:type="default" r:id="rId11"/>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A969" w14:textId="77777777" w:rsidR="00E51767" w:rsidRDefault="00E51767" w:rsidP="005F368E">
      <w:pPr>
        <w:spacing w:after="0" w:line="240" w:lineRule="auto"/>
      </w:pPr>
      <w:r>
        <w:separator/>
      </w:r>
    </w:p>
  </w:endnote>
  <w:endnote w:type="continuationSeparator" w:id="0">
    <w:p w14:paraId="4FB55152" w14:textId="77777777" w:rsidR="00E51767" w:rsidRDefault="00E51767"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420559"/>
      <w:docPartObj>
        <w:docPartGallery w:val="Page Numbers (Bottom of Page)"/>
        <w:docPartUnique/>
      </w:docPartObj>
    </w:sdtPr>
    <w:sdtEndPr>
      <w:rPr>
        <w:sz w:val="22"/>
        <w:szCs w:val="22"/>
      </w:rPr>
    </w:sdtEndPr>
    <w:sdtContent>
      <w:bookmarkStart w:id="16" w:name="_Hlk23160472" w:displacedByCustomXml="next"/>
      <w:bookmarkStart w:id="17"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rPr>
            <w:sz w:val="22"/>
            <w:szCs w:val="22"/>
          </w:rPr>
        </w:sdtEndPr>
        <w:sdtContent>
          <w:bookmarkEnd w:id="16"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3B2E2338" w14:textId="77777777" w:rsidR="00FC5381" w:rsidRPr="00C2704B" w:rsidRDefault="00FC5381" w:rsidP="00C2704B">
            <w:pPr>
              <w:pStyle w:val="ListParagraph"/>
              <w:widowControl w:val="0"/>
              <w:autoSpaceDE w:val="0"/>
              <w:autoSpaceDN w:val="0"/>
              <w:adjustRightInd w:val="0"/>
              <w:spacing w:after="0" w:line="240" w:lineRule="auto"/>
              <w:ind w:left="0"/>
              <w:contextualSpacing w:val="0"/>
              <w:jc w:val="center"/>
              <w:rPr>
                <w:rFonts w:ascii="Times New Roman" w:hAnsi="Times New Roman" w:cs="Times New Roman"/>
                <w:sz w:val="10"/>
                <w:szCs w:val="10"/>
              </w:rPr>
            </w:pPr>
          </w:p>
          <w:p w14:paraId="51C57E27" w14:textId="4F487164" w:rsidR="00FC5381" w:rsidRPr="00DC012C" w:rsidRDefault="007F5B40" w:rsidP="00DC012C">
            <w:pPr>
              <w:pStyle w:val="ListParagraph"/>
              <w:widowControl w:val="0"/>
              <w:autoSpaceDE w:val="0"/>
              <w:autoSpaceDN w:val="0"/>
              <w:adjustRightInd w:val="0"/>
              <w:spacing w:before="60" w:after="60" w:line="240" w:lineRule="auto"/>
              <w:ind w:left="0"/>
              <w:rPr>
                <w:rFonts w:ascii="Times New Roman" w:hAnsi="Times New Roman" w:cs="Times New Roman"/>
                <w:sz w:val="18"/>
                <w:szCs w:val="18"/>
              </w:rPr>
            </w:pPr>
            <w:r w:rsidRPr="00035B45">
              <w:rPr>
                <w:rFonts w:ascii="Times New Roman" w:hAnsi="Times New Roman" w:cs="Times New Roman"/>
                <w:sz w:val="18"/>
                <w:szCs w:val="18"/>
              </w:rPr>
              <w:t xml:space="preserve">Termeni de Referință - "Expertize tehnice în construcții" pentru construcțiile existente Pachetul </w:t>
            </w:r>
            <w:r>
              <w:rPr>
                <w:rFonts w:ascii="Times New Roman" w:hAnsi="Times New Roman" w:cs="Times New Roman"/>
                <w:sz w:val="18"/>
                <w:szCs w:val="18"/>
              </w:rPr>
              <w:t>7</w:t>
            </w:r>
            <w:r w:rsidRPr="00035B45">
              <w:rPr>
                <w:rFonts w:ascii="Times New Roman" w:hAnsi="Times New Roman" w:cs="Times New Roman"/>
                <w:sz w:val="18"/>
                <w:szCs w:val="18"/>
              </w:rPr>
              <w:t xml:space="preserve"> </w:t>
            </w:r>
            <w:r w:rsidRPr="00035B45">
              <w:rPr>
                <w:rFonts w:ascii="Times New Roman" w:hAnsi="Times New Roman" w:cs="Times New Roman"/>
                <w:sz w:val="18"/>
                <w:szCs w:val="18"/>
              </w:rPr>
              <w:tab/>
            </w:r>
            <w:r w:rsidR="00DC012C">
              <w:rPr>
                <w:rFonts w:ascii="Times New Roman" w:hAnsi="Times New Roman" w:cs="Times New Roman"/>
                <w:sz w:val="18"/>
                <w:szCs w:val="18"/>
              </w:rPr>
              <w:tab/>
            </w:r>
            <w:r w:rsidR="003755B6">
              <w:rPr>
                <w:rFonts w:ascii="Times New Roman" w:hAnsi="Times New Roman" w:cs="Times New Roman"/>
                <w:sz w:val="18"/>
                <w:szCs w:val="18"/>
              </w:rPr>
              <w:tab/>
            </w:r>
            <w:r w:rsidR="00FC5381" w:rsidRPr="00570EC1">
              <w:rPr>
                <w:rFonts w:ascii="Times New Roman" w:hAnsi="Times New Roman" w:cs="Times New Roman"/>
              </w:rPr>
              <w:t xml:space="preserve">Pag </w:t>
            </w:r>
            <w:r w:rsidR="00FC5381" w:rsidRPr="00570EC1">
              <w:rPr>
                <w:rFonts w:ascii="Times New Roman" w:hAnsi="Times New Roman" w:cs="Times New Roman"/>
                <w:b/>
                <w:bCs/>
              </w:rPr>
              <w:fldChar w:fldCharType="begin"/>
            </w:r>
            <w:r w:rsidR="00FC5381" w:rsidRPr="00570EC1">
              <w:rPr>
                <w:rFonts w:ascii="Times New Roman" w:hAnsi="Times New Roman" w:cs="Times New Roman"/>
                <w:b/>
                <w:bCs/>
              </w:rPr>
              <w:instrText>PAGE</w:instrText>
            </w:r>
            <w:r w:rsidR="00FC5381" w:rsidRPr="00570EC1">
              <w:rPr>
                <w:rFonts w:ascii="Times New Roman" w:hAnsi="Times New Roman" w:cs="Times New Roman"/>
                <w:b/>
                <w:bCs/>
              </w:rPr>
              <w:fldChar w:fldCharType="separate"/>
            </w:r>
            <w:r w:rsidR="00FC5381" w:rsidRPr="00570EC1">
              <w:rPr>
                <w:rFonts w:ascii="Times New Roman" w:hAnsi="Times New Roman" w:cs="Times New Roman"/>
                <w:b/>
                <w:bCs/>
              </w:rPr>
              <w:t>1</w:t>
            </w:r>
            <w:r w:rsidR="00FC5381" w:rsidRPr="00570EC1">
              <w:rPr>
                <w:rFonts w:ascii="Times New Roman" w:hAnsi="Times New Roman" w:cs="Times New Roman"/>
                <w:b/>
                <w:bCs/>
              </w:rPr>
              <w:fldChar w:fldCharType="end"/>
            </w:r>
            <w:r w:rsidR="00FC5381" w:rsidRPr="00570EC1">
              <w:rPr>
                <w:rFonts w:ascii="Times New Roman" w:hAnsi="Times New Roman" w:cs="Times New Roman"/>
              </w:rPr>
              <w:t xml:space="preserve"> </w:t>
            </w:r>
            <w:r w:rsidR="00570EC1">
              <w:rPr>
                <w:rFonts w:ascii="Times New Roman" w:hAnsi="Times New Roman" w:cs="Times New Roman"/>
              </w:rPr>
              <w:t>/</w:t>
            </w:r>
            <w:r w:rsidR="00FC5381" w:rsidRPr="00570EC1">
              <w:rPr>
                <w:rFonts w:ascii="Times New Roman" w:hAnsi="Times New Roman" w:cs="Times New Roman"/>
              </w:rPr>
              <w:t xml:space="preserve"> </w:t>
            </w:r>
            <w:r w:rsidR="00FC5381" w:rsidRPr="00570EC1">
              <w:rPr>
                <w:rFonts w:ascii="Times New Roman" w:hAnsi="Times New Roman" w:cs="Times New Roman"/>
                <w:b/>
                <w:bCs/>
              </w:rPr>
              <w:fldChar w:fldCharType="begin"/>
            </w:r>
            <w:r w:rsidR="00FC5381" w:rsidRPr="00570EC1">
              <w:rPr>
                <w:rFonts w:ascii="Times New Roman" w:hAnsi="Times New Roman" w:cs="Times New Roman"/>
                <w:b/>
                <w:bCs/>
              </w:rPr>
              <w:instrText>NUMPAGES</w:instrText>
            </w:r>
            <w:r w:rsidR="00FC5381" w:rsidRPr="00570EC1">
              <w:rPr>
                <w:rFonts w:ascii="Times New Roman" w:hAnsi="Times New Roman" w:cs="Times New Roman"/>
                <w:b/>
                <w:bCs/>
              </w:rPr>
              <w:fldChar w:fldCharType="separate"/>
            </w:r>
            <w:r w:rsidR="00FC5381" w:rsidRPr="00570EC1">
              <w:rPr>
                <w:rFonts w:ascii="Times New Roman" w:hAnsi="Times New Roman" w:cs="Times New Roman"/>
                <w:b/>
                <w:bCs/>
              </w:rPr>
              <w:t>37</w:t>
            </w:r>
            <w:r w:rsidR="00FC5381" w:rsidRPr="00570EC1">
              <w:rPr>
                <w:rFonts w:ascii="Times New Roman" w:hAnsi="Times New Roman" w:cs="Times New Roman"/>
                <w:b/>
                <w:bCs/>
              </w:rPr>
              <w:fldChar w:fldCharType="end"/>
            </w:r>
          </w:p>
        </w:sdtContent>
      </w:sdt>
      <w:bookmarkEnd w:id="17"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A2D89" w14:textId="77777777" w:rsidR="00E51767" w:rsidRDefault="00E51767" w:rsidP="005F368E">
      <w:pPr>
        <w:spacing w:after="0" w:line="240" w:lineRule="auto"/>
      </w:pPr>
      <w:r>
        <w:separator/>
      </w:r>
    </w:p>
  </w:footnote>
  <w:footnote w:type="continuationSeparator" w:id="0">
    <w:p w14:paraId="73D8EBD3" w14:textId="77777777" w:rsidR="00E51767" w:rsidRDefault="00E51767"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5E8"/>
    <w:multiLevelType w:val="hybridMultilevel"/>
    <w:tmpl w:val="908CCFE0"/>
    <w:lvl w:ilvl="0" w:tplc="2D0ECB4A">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116BD"/>
    <w:multiLevelType w:val="hybridMultilevel"/>
    <w:tmpl w:val="2FDA0B26"/>
    <w:lvl w:ilvl="0" w:tplc="86F01334">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5"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6"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7"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8"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1"/>
  </w:num>
  <w:num w:numId="4">
    <w:abstractNumId w:val="7"/>
  </w:num>
  <w:num w:numId="5">
    <w:abstractNumId w:val="20"/>
  </w:num>
  <w:num w:numId="6">
    <w:abstractNumId w:val="3"/>
  </w:num>
  <w:num w:numId="7">
    <w:abstractNumId w:val="30"/>
  </w:num>
  <w:num w:numId="8">
    <w:abstractNumId w:val="4"/>
  </w:num>
  <w:num w:numId="9">
    <w:abstractNumId w:val="1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13"/>
  </w:num>
  <w:num w:numId="17">
    <w:abstractNumId w:val="9"/>
  </w:num>
  <w:num w:numId="18">
    <w:abstractNumId w:val="29"/>
  </w:num>
  <w:num w:numId="19">
    <w:abstractNumId w:val="25"/>
  </w:num>
  <w:num w:numId="20">
    <w:abstractNumId w:val="17"/>
  </w:num>
  <w:num w:numId="21">
    <w:abstractNumId w:val="10"/>
  </w:num>
  <w:num w:numId="22">
    <w:abstractNumId w:val="31"/>
  </w:num>
  <w:num w:numId="23">
    <w:abstractNumId w:val="1"/>
  </w:num>
  <w:num w:numId="24">
    <w:abstractNumId w:val="2"/>
  </w:num>
  <w:num w:numId="25">
    <w:abstractNumId w:val="23"/>
  </w:num>
  <w:num w:numId="26">
    <w:abstractNumId w:val="28"/>
  </w:num>
  <w:num w:numId="27">
    <w:abstractNumId w:val="26"/>
  </w:num>
  <w:num w:numId="28">
    <w:abstractNumId w:val="27"/>
  </w:num>
  <w:num w:numId="29">
    <w:abstractNumId w:val="19"/>
  </w:num>
  <w:num w:numId="30">
    <w:abstractNumId w:val="22"/>
  </w:num>
  <w:num w:numId="31">
    <w:abstractNumId w:val="5"/>
  </w:num>
  <w:num w:numId="32">
    <w:abstractNumId w:val="6"/>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30C2"/>
    <w:rsid w:val="0001462B"/>
    <w:rsid w:val="00014AFB"/>
    <w:rsid w:val="00015441"/>
    <w:rsid w:val="000204DF"/>
    <w:rsid w:val="00022A89"/>
    <w:rsid w:val="000237EA"/>
    <w:rsid w:val="00023FC5"/>
    <w:rsid w:val="00025F35"/>
    <w:rsid w:val="000308C5"/>
    <w:rsid w:val="00030E6C"/>
    <w:rsid w:val="0003246D"/>
    <w:rsid w:val="00033876"/>
    <w:rsid w:val="000348FD"/>
    <w:rsid w:val="000358CE"/>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69E"/>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A1C47"/>
    <w:rsid w:val="000A3702"/>
    <w:rsid w:val="000A3E91"/>
    <w:rsid w:val="000A66BE"/>
    <w:rsid w:val="000A717C"/>
    <w:rsid w:val="000B0909"/>
    <w:rsid w:val="000B0938"/>
    <w:rsid w:val="000B1171"/>
    <w:rsid w:val="000B14C2"/>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440"/>
    <w:rsid w:val="001407C5"/>
    <w:rsid w:val="00141CA5"/>
    <w:rsid w:val="00141DD7"/>
    <w:rsid w:val="001429B0"/>
    <w:rsid w:val="00143A6B"/>
    <w:rsid w:val="00144621"/>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FA5"/>
    <w:rsid w:val="0016124B"/>
    <w:rsid w:val="0016160A"/>
    <w:rsid w:val="0016246A"/>
    <w:rsid w:val="00162DDA"/>
    <w:rsid w:val="00162DEE"/>
    <w:rsid w:val="00164C50"/>
    <w:rsid w:val="001664D8"/>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3040"/>
    <w:rsid w:val="00183CBC"/>
    <w:rsid w:val="00183FC9"/>
    <w:rsid w:val="00184018"/>
    <w:rsid w:val="00184A90"/>
    <w:rsid w:val="0018565E"/>
    <w:rsid w:val="00185C30"/>
    <w:rsid w:val="00185EC2"/>
    <w:rsid w:val="00187318"/>
    <w:rsid w:val="00187626"/>
    <w:rsid w:val="00191953"/>
    <w:rsid w:val="00192398"/>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09"/>
    <w:rsid w:val="001B3F10"/>
    <w:rsid w:val="001B6739"/>
    <w:rsid w:val="001B719C"/>
    <w:rsid w:val="001B76D9"/>
    <w:rsid w:val="001C0CD7"/>
    <w:rsid w:val="001C1905"/>
    <w:rsid w:val="001C2BA2"/>
    <w:rsid w:val="001C31FA"/>
    <w:rsid w:val="001C5B53"/>
    <w:rsid w:val="001C6CBB"/>
    <w:rsid w:val="001C6FC0"/>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E80"/>
    <w:rsid w:val="00215099"/>
    <w:rsid w:val="002152C7"/>
    <w:rsid w:val="00215FF8"/>
    <w:rsid w:val="0021682A"/>
    <w:rsid w:val="00220207"/>
    <w:rsid w:val="00220C89"/>
    <w:rsid w:val="00221054"/>
    <w:rsid w:val="002210D9"/>
    <w:rsid w:val="00221FDD"/>
    <w:rsid w:val="00222952"/>
    <w:rsid w:val="00222DA8"/>
    <w:rsid w:val="002247ED"/>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66D"/>
    <w:rsid w:val="00295B06"/>
    <w:rsid w:val="00295CA3"/>
    <w:rsid w:val="00296BD9"/>
    <w:rsid w:val="00296D3A"/>
    <w:rsid w:val="002973FF"/>
    <w:rsid w:val="0029789E"/>
    <w:rsid w:val="00297E98"/>
    <w:rsid w:val="002A16F7"/>
    <w:rsid w:val="002A18C2"/>
    <w:rsid w:val="002A22A8"/>
    <w:rsid w:val="002A25A7"/>
    <w:rsid w:val="002A3BF5"/>
    <w:rsid w:val="002A490B"/>
    <w:rsid w:val="002A494E"/>
    <w:rsid w:val="002A5BDC"/>
    <w:rsid w:val="002A5DB1"/>
    <w:rsid w:val="002A7813"/>
    <w:rsid w:val="002A7D56"/>
    <w:rsid w:val="002B0FB2"/>
    <w:rsid w:val="002B2417"/>
    <w:rsid w:val="002B2AE4"/>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288B"/>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5E3A"/>
    <w:rsid w:val="002E706D"/>
    <w:rsid w:val="002F1450"/>
    <w:rsid w:val="002F22CA"/>
    <w:rsid w:val="002F2FD8"/>
    <w:rsid w:val="002F5417"/>
    <w:rsid w:val="002F556C"/>
    <w:rsid w:val="002F5EBE"/>
    <w:rsid w:val="002F69AE"/>
    <w:rsid w:val="002F6A3C"/>
    <w:rsid w:val="0030019D"/>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55B6"/>
    <w:rsid w:val="00377843"/>
    <w:rsid w:val="00380900"/>
    <w:rsid w:val="00380C11"/>
    <w:rsid w:val="00381048"/>
    <w:rsid w:val="00381920"/>
    <w:rsid w:val="00381B10"/>
    <w:rsid w:val="00381F5D"/>
    <w:rsid w:val="0038214A"/>
    <w:rsid w:val="003832F8"/>
    <w:rsid w:val="0038340F"/>
    <w:rsid w:val="00385C47"/>
    <w:rsid w:val="00386B57"/>
    <w:rsid w:val="00387ACC"/>
    <w:rsid w:val="0039044A"/>
    <w:rsid w:val="003927C0"/>
    <w:rsid w:val="0039319C"/>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5E29"/>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5339"/>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6BA0"/>
    <w:rsid w:val="0044775B"/>
    <w:rsid w:val="00447801"/>
    <w:rsid w:val="004508A8"/>
    <w:rsid w:val="00450F36"/>
    <w:rsid w:val="004510C2"/>
    <w:rsid w:val="00451322"/>
    <w:rsid w:val="004516A1"/>
    <w:rsid w:val="00451E2E"/>
    <w:rsid w:val="004525A3"/>
    <w:rsid w:val="004533F6"/>
    <w:rsid w:val="004542D3"/>
    <w:rsid w:val="00454459"/>
    <w:rsid w:val="004554FC"/>
    <w:rsid w:val="00455622"/>
    <w:rsid w:val="00456812"/>
    <w:rsid w:val="00460352"/>
    <w:rsid w:val="004606E7"/>
    <w:rsid w:val="00461269"/>
    <w:rsid w:val="00462261"/>
    <w:rsid w:val="00464C6D"/>
    <w:rsid w:val="0046560D"/>
    <w:rsid w:val="00467B01"/>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317A"/>
    <w:rsid w:val="004B325D"/>
    <w:rsid w:val="004B368B"/>
    <w:rsid w:val="004B3EE0"/>
    <w:rsid w:val="004B5D82"/>
    <w:rsid w:val="004B74EB"/>
    <w:rsid w:val="004C0BDE"/>
    <w:rsid w:val="004C3A28"/>
    <w:rsid w:val="004C3AFA"/>
    <w:rsid w:val="004C3F99"/>
    <w:rsid w:val="004C4DC7"/>
    <w:rsid w:val="004C730C"/>
    <w:rsid w:val="004D014B"/>
    <w:rsid w:val="004D0758"/>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31BC"/>
    <w:rsid w:val="004E4000"/>
    <w:rsid w:val="004E44A5"/>
    <w:rsid w:val="004E5D42"/>
    <w:rsid w:val="004E6DF8"/>
    <w:rsid w:val="004E6FA5"/>
    <w:rsid w:val="004F1049"/>
    <w:rsid w:val="004F54F9"/>
    <w:rsid w:val="004F5DB7"/>
    <w:rsid w:val="004F6BAC"/>
    <w:rsid w:val="004F6E01"/>
    <w:rsid w:val="004F75F4"/>
    <w:rsid w:val="0050161A"/>
    <w:rsid w:val="005020D8"/>
    <w:rsid w:val="00503EFD"/>
    <w:rsid w:val="00504483"/>
    <w:rsid w:val="005059DB"/>
    <w:rsid w:val="00506629"/>
    <w:rsid w:val="00506756"/>
    <w:rsid w:val="00507AEB"/>
    <w:rsid w:val="00507DD7"/>
    <w:rsid w:val="00510D14"/>
    <w:rsid w:val="005128D8"/>
    <w:rsid w:val="0051339D"/>
    <w:rsid w:val="00514BCC"/>
    <w:rsid w:val="00515CF1"/>
    <w:rsid w:val="00516D6B"/>
    <w:rsid w:val="00516F78"/>
    <w:rsid w:val="005205ED"/>
    <w:rsid w:val="00521E6B"/>
    <w:rsid w:val="00524AE4"/>
    <w:rsid w:val="00524AF2"/>
    <w:rsid w:val="00526600"/>
    <w:rsid w:val="00526E59"/>
    <w:rsid w:val="00527A77"/>
    <w:rsid w:val="0053058D"/>
    <w:rsid w:val="00531277"/>
    <w:rsid w:val="00531CD5"/>
    <w:rsid w:val="00532AD4"/>
    <w:rsid w:val="005347A9"/>
    <w:rsid w:val="00536364"/>
    <w:rsid w:val="00536511"/>
    <w:rsid w:val="00537A48"/>
    <w:rsid w:val="00544D50"/>
    <w:rsid w:val="00551F27"/>
    <w:rsid w:val="0055205E"/>
    <w:rsid w:val="0055349D"/>
    <w:rsid w:val="0055604D"/>
    <w:rsid w:val="005579F0"/>
    <w:rsid w:val="00563971"/>
    <w:rsid w:val="00570155"/>
    <w:rsid w:val="00570EC1"/>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E2"/>
    <w:rsid w:val="005A37EB"/>
    <w:rsid w:val="005A48D8"/>
    <w:rsid w:val="005A6182"/>
    <w:rsid w:val="005A6921"/>
    <w:rsid w:val="005A72B1"/>
    <w:rsid w:val="005B0360"/>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18CE"/>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D66"/>
    <w:rsid w:val="00611F89"/>
    <w:rsid w:val="0061228F"/>
    <w:rsid w:val="0061247C"/>
    <w:rsid w:val="006136E5"/>
    <w:rsid w:val="006145FA"/>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66CD"/>
    <w:rsid w:val="006D000F"/>
    <w:rsid w:val="006D0139"/>
    <w:rsid w:val="006D326B"/>
    <w:rsid w:val="006D3427"/>
    <w:rsid w:val="006D4BE9"/>
    <w:rsid w:val="006D5658"/>
    <w:rsid w:val="006D6BEB"/>
    <w:rsid w:val="006D6F29"/>
    <w:rsid w:val="006E19EF"/>
    <w:rsid w:val="006E20C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29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FF2"/>
    <w:rsid w:val="00713E59"/>
    <w:rsid w:val="00715504"/>
    <w:rsid w:val="0071563F"/>
    <w:rsid w:val="00715A34"/>
    <w:rsid w:val="00716596"/>
    <w:rsid w:val="00716DFD"/>
    <w:rsid w:val="00717083"/>
    <w:rsid w:val="007170FE"/>
    <w:rsid w:val="007176D3"/>
    <w:rsid w:val="00717BF6"/>
    <w:rsid w:val="00720C97"/>
    <w:rsid w:val="00720CAD"/>
    <w:rsid w:val="00720FF1"/>
    <w:rsid w:val="00721201"/>
    <w:rsid w:val="00722FFA"/>
    <w:rsid w:val="00724861"/>
    <w:rsid w:val="00730A4A"/>
    <w:rsid w:val="00730ABA"/>
    <w:rsid w:val="00731AE4"/>
    <w:rsid w:val="00731D9D"/>
    <w:rsid w:val="00733E79"/>
    <w:rsid w:val="00736B46"/>
    <w:rsid w:val="00736D52"/>
    <w:rsid w:val="00737896"/>
    <w:rsid w:val="00737F49"/>
    <w:rsid w:val="007402FE"/>
    <w:rsid w:val="00741806"/>
    <w:rsid w:val="007421D2"/>
    <w:rsid w:val="0074368E"/>
    <w:rsid w:val="00743BA1"/>
    <w:rsid w:val="00743E86"/>
    <w:rsid w:val="00744052"/>
    <w:rsid w:val="00744B3E"/>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54A1"/>
    <w:rsid w:val="007A6456"/>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F49"/>
    <w:rsid w:val="007C0F6C"/>
    <w:rsid w:val="007C162A"/>
    <w:rsid w:val="007C23C1"/>
    <w:rsid w:val="007C2FAD"/>
    <w:rsid w:val="007C5886"/>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5170"/>
    <w:rsid w:val="007F5B4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69B3"/>
    <w:rsid w:val="00836C79"/>
    <w:rsid w:val="0083720C"/>
    <w:rsid w:val="00842922"/>
    <w:rsid w:val="00842DBE"/>
    <w:rsid w:val="008444BF"/>
    <w:rsid w:val="00846732"/>
    <w:rsid w:val="008468EB"/>
    <w:rsid w:val="00846A15"/>
    <w:rsid w:val="00851FB7"/>
    <w:rsid w:val="008526B3"/>
    <w:rsid w:val="00852DEE"/>
    <w:rsid w:val="00853FD2"/>
    <w:rsid w:val="008542CA"/>
    <w:rsid w:val="008551F5"/>
    <w:rsid w:val="00855864"/>
    <w:rsid w:val="00855F13"/>
    <w:rsid w:val="00856101"/>
    <w:rsid w:val="0085627B"/>
    <w:rsid w:val="008609B8"/>
    <w:rsid w:val="00861065"/>
    <w:rsid w:val="008636B9"/>
    <w:rsid w:val="00867EE7"/>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521"/>
    <w:rsid w:val="00884D8E"/>
    <w:rsid w:val="00884FD3"/>
    <w:rsid w:val="00887187"/>
    <w:rsid w:val="0088756B"/>
    <w:rsid w:val="00887BD9"/>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511B"/>
    <w:rsid w:val="008A6C93"/>
    <w:rsid w:val="008A7D58"/>
    <w:rsid w:val="008B1BBC"/>
    <w:rsid w:val="008B450C"/>
    <w:rsid w:val="008B4592"/>
    <w:rsid w:val="008B6125"/>
    <w:rsid w:val="008B62F1"/>
    <w:rsid w:val="008B6E1A"/>
    <w:rsid w:val="008B76EC"/>
    <w:rsid w:val="008C0BD7"/>
    <w:rsid w:val="008C14DF"/>
    <w:rsid w:val="008C2B14"/>
    <w:rsid w:val="008C33D6"/>
    <w:rsid w:val="008C3629"/>
    <w:rsid w:val="008C3B15"/>
    <w:rsid w:val="008C536B"/>
    <w:rsid w:val="008C6147"/>
    <w:rsid w:val="008C62D8"/>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F119F"/>
    <w:rsid w:val="008F1CC4"/>
    <w:rsid w:val="008F28A7"/>
    <w:rsid w:val="008F2EF7"/>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89E"/>
    <w:rsid w:val="00912C5B"/>
    <w:rsid w:val="00914B96"/>
    <w:rsid w:val="00915A6C"/>
    <w:rsid w:val="0091635D"/>
    <w:rsid w:val="00916638"/>
    <w:rsid w:val="00920D3A"/>
    <w:rsid w:val="00921847"/>
    <w:rsid w:val="00921B97"/>
    <w:rsid w:val="00921DA8"/>
    <w:rsid w:val="00922FB5"/>
    <w:rsid w:val="009250A5"/>
    <w:rsid w:val="00930D77"/>
    <w:rsid w:val="009312B7"/>
    <w:rsid w:val="00931761"/>
    <w:rsid w:val="00932627"/>
    <w:rsid w:val="0093360F"/>
    <w:rsid w:val="00933A06"/>
    <w:rsid w:val="00933D11"/>
    <w:rsid w:val="00936BC1"/>
    <w:rsid w:val="009409B1"/>
    <w:rsid w:val="00941F1F"/>
    <w:rsid w:val="00942333"/>
    <w:rsid w:val="00942456"/>
    <w:rsid w:val="00943ABA"/>
    <w:rsid w:val="00943BF1"/>
    <w:rsid w:val="00945551"/>
    <w:rsid w:val="00947827"/>
    <w:rsid w:val="00947ABD"/>
    <w:rsid w:val="00947BEC"/>
    <w:rsid w:val="00950615"/>
    <w:rsid w:val="009515E7"/>
    <w:rsid w:val="009515FB"/>
    <w:rsid w:val="00952550"/>
    <w:rsid w:val="00953370"/>
    <w:rsid w:val="009553CB"/>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1A0"/>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D8F"/>
    <w:rsid w:val="009B5C68"/>
    <w:rsid w:val="009B60F2"/>
    <w:rsid w:val="009C0D13"/>
    <w:rsid w:val="009C1B0D"/>
    <w:rsid w:val="009C1DFA"/>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01F"/>
    <w:rsid w:val="009E2E55"/>
    <w:rsid w:val="009E3009"/>
    <w:rsid w:val="009E36F4"/>
    <w:rsid w:val="009E3872"/>
    <w:rsid w:val="009E4FE2"/>
    <w:rsid w:val="009E6A81"/>
    <w:rsid w:val="009E7278"/>
    <w:rsid w:val="009E7E86"/>
    <w:rsid w:val="009F2F3C"/>
    <w:rsid w:val="009F41EA"/>
    <w:rsid w:val="009F42AC"/>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25"/>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32D"/>
    <w:rsid w:val="00A358EB"/>
    <w:rsid w:val="00A35B99"/>
    <w:rsid w:val="00A37D56"/>
    <w:rsid w:val="00A40C22"/>
    <w:rsid w:val="00A41E6E"/>
    <w:rsid w:val="00A42496"/>
    <w:rsid w:val="00A42588"/>
    <w:rsid w:val="00A42A4D"/>
    <w:rsid w:val="00A439CA"/>
    <w:rsid w:val="00A43AEC"/>
    <w:rsid w:val="00A43D42"/>
    <w:rsid w:val="00A458DA"/>
    <w:rsid w:val="00A45A4F"/>
    <w:rsid w:val="00A463CE"/>
    <w:rsid w:val="00A47153"/>
    <w:rsid w:val="00A479B2"/>
    <w:rsid w:val="00A50E02"/>
    <w:rsid w:val="00A518B1"/>
    <w:rsid w:val="00A5293B"/>
    <w:rsid w:val="00A52A89"/>
    <w:rsid w:val="00A53915"/>
    <w:rsid w:val="00A54A85"/>
    <w:rsid w:val="00A555D0"/>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901F7"/>
    <w:rsid w:val="00A91059"/>
    <w:rsid w:val="00A91458"/>
    <w:rsid w:val="00A914E4"/>
    <w:rsid w:val="00A92CE9"/>
    <w:rsid w:val="00A9494A"/>
    <w:rsid w:val="00AA009B"/>
    <w:rsid w:val="00AA2192"/>
    <w:rsid w:val="00AA2471"/>
    <w:rsid w:val="00AA3B11"/>
    <w:rsid w:val="00AA3EDF"/>
    <w:rsid w:val="00AA5224"/>
    <w:rsid w:val="00AA675A"/>
    <w:rsid w:val="00AB0F78"/>
    <w:rsid w:val="00AB2686"/>
    <w:rsid w:val="00AB5278"/>
    <w:rsid w:val="00AB5569"/>
    <w:rsid w:val="00AB6469"/>
    <w:rsid w:val="00AB68D7"/>
    <w:rsid w:val="00AB7F25"/>
    <w:rsid w:val="00AC13C2"/>
    <w:rsid w:val="00AC173A"/>
    <w:rsid w:val="00AC1988"/>
    <w:rsid w:val="00AC1E76"/>
    <w:rsid w:val="00AC6E99"/>
    <w:rsid w:val="00AC7FCF"/>
    <w:rsid w:val="00AD12AD"/>
    <w:rsid w:val="00AD4A95"/>
    <w:rsid w:val="00AD7F25"/>
    <w:rsid w:val="00AE0B10"/>
    <w:rsid w:val="00AE1A0A"/>
    <w:rsid w:val="00AE1DC7"/>
    <w:rsid w:val="00AE261D"/>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402A"/>
    <w:rsid w:val="00B14133"/>
    <w:rsid w:val="00B175DA"/>
    <w:rsid w:val="00B22264"/>
    <w:rsid w:val="00B23C7F"/>
    <w:rsid w:val="00B23D61"/>
    <w:rsid w:val="00B2743B"/>
    <w:rsid w:val="00B31770"/>
    <w:rsid w:val="00B31C07"/>
    <w:rsid w:val="00B321E7"/>
    <w:rsid w:val="00B323B3"/>
    <w:rsid w:val="00B32C27"/>
    <w:rsid w:val="00B335FB"/>
    <w:rsid w:val="00B33EA2"/>
    <w:rsid w:val="00B34C64"/>
    <w:rsid w:val="00B36429"/>
    <w:rsid w:val="00B372ED"/>
    <w:rsid w:val="00B374C7"/>
    <w:rsid w:val="00B377C6"/>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4FDC"/>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B67"/>
    <w:rsid w:val="00BF7826"/>
    <w:rsid w:val="00BF794D"/>
    <w:rsid w:val="00C00F4E"/>
    <w:rsid w:val="00C02C9A"/>
    <w:rsid w:val="00C049F7"/>
    <w:rsid w:val="00C04FAA"/>
    <w:rsid w:val="00C050A1"/>
    <w:rsid w:val="00C07F5C"/>
    <w:rsid w:val="00C10192"/>
    <w:rsid w:val="00C103A5"/>
    <w:rsid w:val="00C1096E"/>
    <w:rsid w:val="00C11539"/>
    <w:rsid w:val="00C1289D"/>
    <w:rsid w:val="00C139A9"/>
    <w:rsid w:val="00C13D6D"/>
    <w:rsid w:val="00C14310"/>
    <w:rsid w:val="00C14896"/>
    <w:rsid w:val="00C14D0F"/>
    <w:rsid w:val="00C14D4F"/>
    <w:rsid w:val="00C1526B"/>
    <w:rsid w:val="00C1549C"/>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F5F"/>
    <w:rsid w:val="00C61955"/>
    <w:rsid w:val="00C61E24"/>
    <w:rsid w:val="00C63C59"/>
    <w:rsid w:val="00C64995"/>
    <w:rsid w:val="00C64B0F"/>
    <w:rsid w:val="00C6662F"/>
    <w:rsid w:val="00C66B35"/>
    <w:rsid w:val="00C66FA6"/>
    <w:rsid w:val="00C6743F"/>
    <w:rsid w:val="00C675D8"/>
    <w:rsid w:val="00C7032C"/>
    <w:rsid w:val="00C7096A"/>
    <w:rsid w:val="00C70DF2"/>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10F2"/>
    <w:rsid w:val="00CA366F"/>
    <w:rsid w:val="00CA3A59"/>
    <w:rsid w:val="00CA425B"/>
    <w:rsid w:val="00CA64F3"/>
    <w:rsid w:val="00CA6CBE"/>
    <w:rsid w:val="00CA70BE"/>
    <w:rsid w:val="00CA75F4"/>
    <w:rsid w:val="00CB14F8"/>
    <w:rsid w:val="00CB1ABA"/>
    <w:rsid w:val="00CB3EB7"/>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4171"/>
    <w:rsid w:val="00CE5153"/>
    <w:rsid w:val="00CE5FD8"/>
    <w:rsid w:val="00CE627E"/>
    <w:rsid w:val="00CF0591"/>
    <w:rsid w:val="00CF1E40"/>
    <w:rsid w:val="00CF3155"/>
    <w:rsid w:val="00CF34BF"/>
    <w:rsid w:val="00CF3CD8"/>
    <w:rsid w:val="00CF3FFC"/>
    <w:rsid w:val="00CF4602"/>
    <w:rsid w:val="00CF57D1"/>
    <w:rsid w:val="00CF62B7"/>
    <w:rsid w:val="00CF6BF9"/>
    <w:rsid w:val="00CF7FF6"/>
    <w:rsid w:val="00D0309E"/>
    <w:rsid w:val="00D0372C"/>
    <w:rsid w:val="00D05188"/>
    <w:rsid w:val="00D052B7"/>
    <w:rsid w:val="00D05EB9"/>
    <w:rsid w:val="00D06702"/>
    <w:rsid w:val="00D07A91"/>
    <w:rsid w:val="00D07CA2"/>
    <w:rsid w:val="00D1211B"/>
    <w:rsid w:val="00D1231A"/>
    <w:rsid w:val="00D13333"/>
    <w:rsid w:val="00D13A73"/>
    <w:rsid w:val="00D1496E"/>
    <w:rsid w:val="00D14EBB"/>
    <w:rsid w:val="00D17427"/>
    <w:rsid w:val="00D17B4A"/>
    <w:rsid w:val="00D20951"/>
    <w:rsid w:val="00D2135A"/>
    <w:rsid w:val="00D228F9"/>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3FB"/>
    <w:rsid w:val="00D85A08"/>
    <w:rsid w:val="00D872C6"/>
    <w:rsid w:val="00D8759F"/>
    <w:rsid w:val="00D9079C"/>
    <w:rsid w:val="00D929A8"/>
    <w:rsid w:val="00D93297"/>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2C"/>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98A"/>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BC2"/>
    <w:rsid w:val="00DF1E55"/>
    <w:rsid w:val="00DF4256"/>
    <w:rsid w:val="00DF46C7"/>
    <w:rsid w:val="00DF6719"/>
    <w:rsid w:val="00DF76AD"/>
    <w:rsid w:val="00E0016A"/>
    <w:rsid w:val="00E00991"/>
    <w:rsid w:val="00E0244D"/>
    <w:rsid w:val="00E0291F"/>
    <w:rsid w:val="00E02EBA"/>
    <w:rsid w:val="00E030D9"/>
    <w:rsid w:val="00E0379C"/>
    <w:rsid w:val="00E0431C"/>
    <w:rsid w:val="00E04B5F"/>
    <w:rsid w:val="00E06C7A"/>
    <w:rsid w:val="00E103D2"/>
    <w:rsid w:val="00E10BDA"/>
    <w:rsid w:val="00E11549"/>
    <w:rsid w:val="00E11993"/>
    <w:rsid w:val="00E11DC3"/>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827"/>
    <w:rsid w:val="00E470B8"/>
    <w:rsid w:val="00E5042E"/>
    <w:rsid w:val="00E506E5"/>
    <w:rsid w:val="00E50EA4"/>
    <w:rsid w:val="00E51767"/>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4999"/>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6D59"/>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E74"/>
    <w:rsid w:val="00EA734D"/>
    <w:rsid w:val="00EA73C9"/>
    <w:rsid w:val="00EA7B9D"/>
    <w:rsid w:val="00EB0168"/>
    <w:rsid w:val="00EB0DC8"/>
    <w:rsid w:val="00EB0EAF"/>
    <w:rsid w:val="00EB107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07D6F"/>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6CF"/>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99D"/>
    <w:rsid w:val="00FA7C5A"/>
    <w:rsid w:val="00FB02BC"/>
    <w:rsid w:val="00FB1980"/>
    <w:rsid w:val="00FB1B82"/>
    <w:rsid w:val="00FB2632"/>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5934"/>
    <w:rsid w:val="00FE71B2"/>
    <w:rsid w:val="00FF144B"/>
    <w:rsid w:val="00FF16B5"/>
    <w:rsid w:val="00FF3A0F"/>
    <w:rsid w:val="00FF4E67"/>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4939</Words>
  <Characters>28153</Characters>
  <Application>Microsoft Office Word</Application>
  <DocSecurity>0</DocSecurity>
  <Lines>234</Lines>
  <Paragraphs>66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4</cp:revision>
  <cp:lastPrinted>2021-07-22T11:14:00Z</cp:lastPrinted>
  <dcterms:created xsi:type="dcterms:W3CDTF">2021-07-22T11:03:00Z</dcterms:created>
  <dcterms:modified xsi:type="dcterms:W3CDTF">2021-07-22T11:17:00Z</dcterms:modified>
</cp:coreProperties>
</file>