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5D77" w14:textId="4547E8C8" w:rsidR="00A55AC6" w:rsidRPr="00A31E19" w:rsidRDefault="00A55AC6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2F6D8D03" w14:textId="7FB3C5A2" w:rsidR="00EE1382" w:rsidRPr="00A31E19" w:rsidRDefault="00EE1382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Clarificari legate de selectie Verificatori tehnici atestati pentru cerintele B1, E, F- Batch1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>- 6 obiective de investiții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/ 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02.09.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4"/>
        <w:gridCol w:w="6974"/>
      </w:tblGrid>
      <w:tr w:rsidR="00EE1382" w:rsidRPr="00A31E19" w14:paraId="1E7A885E" w14:textId="77777777" w:rsidTr="006B7DA3">
        <w:tc>
          <w:tcPr>
            <w:tcW w:w="6974" w:type="dxa"/>
          </w:tcPr>
          <w:p w14:paraId="35D1F685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INTREBARE</w:t>
            </w:r>
          </w:p>
        </w:tc>
        <w:tc>
          <w:tcPr>
            <w:tcW w:w="6974" w:type="dxa"/>
          </w:tcPr>
          <w:p w14:paraId="52EB0DBA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RASPUNS</w:t>
            </w:r>
          </w:p>
        </w:tc>
      </w:tr>
      <w:tr w:rsidR="002255AD" w:rsidRPr="00A31E19" w14:paraId="735666EA" w14:textId="77777777" w:rsidTr="006B7DA3">
        <w:tc>
          <w:tcPr>
            <w:tcW w:w="6974" w:type="dxa"/>
          </w:tcPr>
          <w:p w14:paraId="35FFCC8D" w14:textId="08A36C39" w:rsidR="002255AD" w:rsidRPr="002255AD" w:rsidRDefault="002255AD" w:rsidP="002255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onsiderand ca normele in vigoare permit unul verificator atestat sa profeseze atat ca si PFA cat si ca actionar sau angajat al unei societati comerciale - acesta alege forma care este cea mai avantajoasa economic. Tipul de personalitate juridica nu este relationat in vreun fel la competente si nu ar trebui sa constituie criteriu de eligibilitate.</w:t>
            </w:r>
          </w:p>
        </w:tc>
        <w:tc>
          <w:tcPr>
            <w:tcW w:w="6974" w:type="dxa"/>
          </w:tcPr>
          <w:p w14:paraId="31570B39" w14:textId="4FE94765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 Participarea verificatorilor se va realiza </w:t>
            </w:r>
            <w:r w:rsidR="00AA4B9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 condițiile prevăzute de lege, respectiv 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conform anexa 1, art.5 din Hotararea nr. 925 din 20 noiembrie 1995 pentru aprobarea Regulamentului privind verificarea şi expertizarea tehnică a proiectelor, expertizarea tehnică a execuţiei lucrărilor şi a construcţiilor, precum şi verificarea calităţii lucrărilor executate</w:t>
            </w:r>
            <w:r w:rsidR="00AA4B9B">
              <w:rPr>
                <w:rFonts w:ascii="Times New Roman" w:hAnsi="Times New Roman"/>
                <w:sz w:val="24"/>
                <w:szCs w:val="24"/>
                <w:lang w:val="ro-RO"/>
              </w:rPr>
              <w:t>. Cerința privind tipul de personalitate juridică ales de către verificatorul tehnic atestat pentru a-și desfășura activitatea, conform celor ante-menționate, nu este criteriu de eligibilitate.</w:t>
            </w:r>
          </w:p>
        </w:tc>
      </w:tr>
      <w:tr w:rsidR="002255AD" w:rsidRPr="00A31E19" w14:paraId="5844D83C" w14:textId="77777777" w:rsidTr="006B7DA3">
        <w:tc>
          <w:tcPr>
            <w:tcW w:w="6974" w:type="dxa"/>
          </w:tcPr>
          <w:p w14:paraId="0B7FCF4C" w14:textId="1224D028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2. In mod ciudat procedura nu face referire si la domeniul D - foarte putin probabil sa nu fie aplicabil si acesta proiectului ce il aveti in vedere.</w:t>
            </w:r>
          </w:p>
        </w:tc>
        <w:tc>
          <w:tcPr>
            <w:tcW w:w="6974" w:type="dxa"/>
          </w:tcPr>
          <w:p w14:paraId="41403BD9" w14:textId="036D2309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2. Domeniul D a fost atribuit 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în urma unei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procedur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i derulate și încheiate prin atribuirea contractului pentru verificare tehnică atestată pentru această cerință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;</w:t>
            </w:r>
          </w:p>
        </w:tc>
      </w:tr>
      <w:tr w:rsidR="002255AD" w:rsidRPr="00A31E19" w14:paraId="0C4886F9" w14:textId="77777777" w:rsidTr="006B7DA3">
        <w:tc>
          <w:tcPr>
            <w:tcW w:w="6974" w:type="dxa"/>
          </w:tcPr>
          <w:p w14:paraId="4F5D1DB3" w14:textId="7FCE7265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entru dobandirea calitatii de verificator este deja necesara experienta in proiectare - conditia de min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5 ani experienta in calitate de verificator - e doar o conditionare si nu o garantie a calitatii serviciului prestat</w:t>
            </w:r>
          </w:p>
        </w:tc>
        <w:tc>
          <w:tcPr>
            <w:tcW w:w="6974" w:type="dxa"/>
          </w:tcPr>
          <w:p w14:paraId="42492CCD" w14:textId="1C56CE91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3.</w:t>
            </w:r>
            <w:r>
              <w:t xml:space="preserve"> 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aceste 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proceduri de selecție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pot sa participe to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i verificatorii atesta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i care au legitimatiile vizate la zi. Pot participa si verificatorii care au mai putin de 5 ani experien</w:t>
            </w:r>
            <w:r w:rsidR="00AA4B9B">
              <w:rPr>
                <w:rFonts w:ascii="Times New Roman" w:hAnsi="Times New Roman"/>
                <w:sz w:val="24"/>
                <w:szCs w:val="24"/>
                <w:lang w:val="ro-RO"/>
              </w:rPr>
              <w:t>ță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AA4B9B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n calitate de verificator atestat</w:t>
            </w:r>
            <w:r w:rsidR="00AA4B9B">
              <w:rPr>
                <w:rFonts w:ascii="Times New Roman" w:hAnsi="Times New Roman"/>
                <w:sz w:val="24"/>
                <w:szCs w:val="24"/>
                <w:lang w:val="ro-RO"/>
              </w:rPr>
              <w:t>,</w:t>
            </w:r>
            <w:r w:rsidR="00AA4B9B" w:rsidRPr="00A31E1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astfel că pentru o vechime de minim 5 ani, se acordă punctajul maxim pentru acest criteriu; această cerin</w:t>
            </w:r>
            <w:r w:rsidR="00AA4B9B" w:rsidRPr="00A31E19">
              <w:rPr>
                <w:rFonts w:ascii="Tahoma" w:hAnsi="Tahoma" w:cs="Tahoma"/>
                <w:sz w:val="24"/>
                <w:szCs w:val="24"/>
                <w:lang w:val="ro-RO"/>
              </w:rPr>
              <w:t>ț</w:t>
            </w:r>
            <w:r w:rsidR="00AA4B9B" w:rsidRPr="00A31E19">
              <w:rPr>
                <w:rFonts w:ascii="Times New Roman" w:hAnsi="Times New Roman"/>
                <w:sz w:val="24"/>
                <w:szCs w:val="24"/>
                <w:lang w:val="ro-RO"/>
              </w:rPr>
              <w:t>ă nu este considerata eliminatorie</w:t>
            </w:r>
          </w:p>
        </w:tc>
      </w:tr>
      <w:tr w:rsidR="002255AD" w:rsidRPr="00A31E19" w14:paraId="0E1ECD46" w14:textId="77777777" w:rsidTr="006B7DA3">
        <w:tc>
          <w:tcPr>
            <w:tcW w:w="6974" w:type="dxa"/>
          </w:tcPr>
          <w:p w14:paraId="4A19B55A" w14:textId="69F76082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 w:rsidRPr="002255AD">
              <w:rPr>
                <w:rFonts w:ascii="Times New Roman" w:hAnsi="Times New Roman"/>
                <w:sz w:val="24"/>
                <w:szCs w:val="24"/>
                <w:lang w:val="ro-RO"/>
              </w:rPr>
              <w:t>alitatea de verificator tehnic atestat MDRAP nu are nici un fel de corelare cu atestarile Ministerului Culturii - deci acest aspect considerat ca fiind un atuu pentru eventuali aplicanti devine iarasi doar un mod a restrange bazinul de aplicanti, fara vreun impact pozitiv in selectia furnizorului de servicii.</w:t>
            </w:r>
          </w:p>
        </w:tc>
        <w:tc>
          <w:tcPr>
            <w:tcW w:w="6974" w:type="dxa"/>
          </w:tcPr>
          <w:p w14:paraId="574F0926" w14:textId="70F7A590" w:rsidR="002255AD" w:rsidRPr="00A31E19" w:rsidRDefault="002255AD" w:rsidP="006B7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4. 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Î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>n cadrul listei de obiective men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>ionate, pentru a c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>ror realizare este organizat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aceasta procedura de selec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ț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ie, sunt incluse 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ș</w:t>
            </w:r>
            <w:r w:rsidR="00B1546F" w:rsidRPr="00B1546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 obiective care </w:t>
            </w:r>
            <w:r w:rsidR="00B1546F" w:rsidRPr="002255AD">
              <w:rPr>
                <w:rFonts w:ascii="Times New Roman" w:hAnsi="Times New Roman"/>
                <w:sz w:val="24"/>
                <w:szCs w:val="24"/>
                <w:lang w:val="ro-RO"/>
              </w:rPr>
              <w:t>care sunt amplasate l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â</w:t>
            </w:r>
            <w:r w:rsidR="00B1546F" w:rsidRPr="002255AD">
              <w:rPr>
                <w:rFonts w:ascii="Times New Roman" w:hAnsi="Times New Roman"/>
                <w:sz w:val="24"/>
                <w:szCs w:val="24"/>
                <w:lang w:val="ro-RO"/>
              </w:rPr>
              <w:t>ng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r w:rsidR="00B1546F"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monumente istorice</w:t>
            </w:r>
            <w:r w:rsidR="00B1546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B1546F" w:rsidRPr="002255A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B1546F" w:rsidRPr="00B154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Această cerință nu este eliminatorie, respectiv nu este obligatoriu ca verificatorul atestat să fie acreditat și de Ministerul Culturii, dar se considera un plus </w:t>
            </w:r>
            <w:r w:rsidR="00AA4B9B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(după cum este specificat în anunț) </w:t>
            </w:r>
            <w:r w:rsidR="00B1546F" w:rsidRPr="00B154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daca are experientă și pentru investiții care implică monumente istorice.</w:t>
            </w:r>
            <w:r w:rsidRPr="00B1546F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 xml:space="preserve"> </w:t>
            </w:r>
          </w:p>
        </w:tc>
      </w:tr>
    </w:tbl>
    <w:p w14:paraId="4B7AB289" w14:textId="77777777" w:rsidR="00EE1382" w:rsidRPr="00A31E19" w:rsidRDefault="00EE1382">
      <w:pPr>
        <w:rPr>
          <w:rFonts w:ascii="Times New Roman" w:hAnsi="Times New Roman"/>
          <w:sz w:val="24"/>
          <w:szCs w:val="24"/>
          <w:lang w:val="ro-RO"/>
        </w:rPr>
      </w:pPr>
    </w:p>
    <w:p w14:paraId="1B5A7D9D" w14:textId="19AF5A2E" w:rsidR="00EE1382" w:rsidRPr="00A31E19" w:rsidRDefault="00EE1382" w:rsidP="00A55AC6">
      <w:pPr>
        <w:rPr>
          <w:rFonts w:ascii="Times New Roman" w:hAnsi="Times New Roman"/>
          <w:sz w:val="24"/>
          <w:szCs w:val="24"/>
          <w:lang w:val="ro-RO"/>
        </w:rPr>
      </w:pPr>
      <w:r w:rsidRPr="00A31E19">
        <w:rPr>
          <w:rFonts w:ascii="Times New Roman" w:hAnsi="Times New Roman"/>
          <w:sz w:val="24"/>
          <w:szCs w:val="24"/>
          <w:lang w:val="ro-RO"/>
        </w:rPr>
        <w:t>Completare cu caracter general: Va rugam sa tineti cont de informatia din anunt potrivit careia Expresiile de interes pot fi depuse si prin posta sau trimise prin posta electronica (e-mail).</w:t>
      </w:r>
    </w:p>
    <w:sectPr w:rsidR="00EE1382" w:rsidRPr="00A31E19" w:rsidSect="00A55AC6">
      <w:pgSz w:w="16838" w:h="11906" w:orient="landscape"/>
      <w:pgMar w:top="107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52E72"/>
    <w:multiLevelType w:val="hybridMultilevel"/>
    <w:tmpl w:val="488E0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017D9"/>
    <w:rsid w:val="00032AC0"/>
    <w:rsid w:val="000446A6"/>
    <w:rsid w:val="000B2509"/>
    <w:rsid w:val="000F284A"/>
    <w:rsid w:val="00207605"/>
    <w:rsid w:val="002255AD"/>
    <w:rsid w:val="00437A72"/>
    <w:rsid w:val="004563BF"/>
    <w:rsid w:val="00460BB9"/>
    <w:rsid w:val="004A2A60"/>
    <w:rsid w:val="0056079B"/>
    <w:rsid w:val="005F4C3B"/>
    <w:rsid w:val="0060495B"/>
    <w:rsid w:val="006A7844"/>
    <w:rsid w:val="006A798A"/>
    <w:rsid w:val="006B7DA3"/>
    <w:rsid w:val="006C42CF"/>
    <w:rsid w:val="00741601"/>
    <w:rsid w:val="007E7FF2"/>
    <w:rsid w:val="00940D21"/>
    <w:rsid w:val="009C2CF4"/>
    <w:rsid w:val="009C38F2"/>
    <w:rsid w:val="009E7D1E"/>
    <w:rsid w:val="00A20C69"/>
    <w:rsid w:val="00A31E19"/>
    <w:rsid w:val="00A55AC6"/>
    <w:rsid w:val="00A73093"/>
    <w:rsid w:val="00AA3FDE"/>
    <w:rsid w:val="00AA4B9B"/>
    <w:rsid w:val="00B1546F"/>
    <w:rsid w:val="00C35EF1"/>
    <w:rsid w:val="00C735D6"/>
    <w:rsid w:val="00CB43A4"/>
    <w:rsid w:val="00CF0E4F"/>
    <w:rsid w:val="00CF4594"/>
    <w:rsid w:val="00D43D52"/>
    <w:rsid w:val="00D465CA"/>
    <w:rsid w:val="00D84868"/>
    <w:rsid w:val="00DB6E6F"/>
    <w:rsid w:val="00DF5277"/>
    <w:rsid w:val="00E62306"/>
    <w:rsid w:val="00E963C0"/>
    <w:rsid w:val="00EE1382"/>
    <w:rsid w:val="00EF3F25"/>
    <w:rsid w:val="00F4665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2C7"/>
  <w15:docId w15:val="{9CBB3335-7376-4C25-AFDB-0F22802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7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C38F2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F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85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440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Clarificari legate de selectie Verificatori tehnici atestati pentru cerintele B1, Cc, D, E, F- Batch1/pana in 27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Clarificari legate de selectie Verificatori tehnici atestati pentru cerintele B1, Cc, D, E, F- Batch1/pana in 27</dc:title>
  <dc:subject/>
  <dc:creator>Marcela VLADAREANU</dc:creator>
  <cp:keywords/>
  <dc:description/>
  <cp:lastModifiedBy>Marcela VLADAREANU</cp:lastModifiedBy>
  <cp:revision>4</cp:revision>
  <cp:lastPrinted>2020-09-02T11:59:00Z</cp:lastPrinted>
  <dcterms:created xsi:type="dcterms:W3CDTF">2020-09-02T06:36:00Z</dcterms:created>
  <dcterms:modified xsi:type="dcterms:W3CDTF">2020-09-02T11:59:00Z</dcterms:modified>
</cp:coreProperties>
</file>